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b/>
          <w:sz w:val="44"/>
          <w:szCs w:val="44"/>
        </w:rPr>
      </w:pPr>
      <w:r>
        <w:rPr>
          <w:rFonts w:asciiTheme="minorEastAsia" w:hAnsiTheme="minorEastAsia"/>
          <w:b/>
          <w:sz w:val="44"/>
          <w:szCs w:val="44"/>
        </w:rPr>
        <w:t>2</w:t>
      </w:r>
      <w:r>
        <w:rPr>
          <w:rFonts w:hint="eastAsia" w:asciiTheme="minorEastAsia" w:hAnsiTheme="minorEastAsia"/>
          <w:b/>
          <w:sz w:val="44"/>
          <w:szCs w:val="44"/>
        </w:rPr>
        <w:t>022</w:t>
      </w:r>
      <w:r>
        <w:rPr>
          <w:rFonts w:asciiTheme="minorEastAsia" w:hAnsiTheme="minorEastAsia"/>
          <w:b/>
          <w:sz w:val="44"/>
          <w:szCs w:val="44"/>
        </w:rPr>
        <w:t>年</w:t>
      </w:r>
      <w:r>
        <w:rPr>
          <w:rFonts w:hint="eastAsia" w:asciiTheme="minorEastAsia" w:hAnsiTheme="minorEastAsia"/>
          <w:b/>
          <w:sz w:val="44"/>
          <w:szCs w:val="44"/>
        </w:rPr>
        <w:t>广州市中西医结合医院</w:t>
      </w:r>
    </w:p>
    <w:p>
      <w:pPr>
        <w:jc w:val="center"/>
        <w:rPr>
          <w:rFonts w:asciiTheme="minorEastAsia" w:hAnsiTheme="minorEastAsia"/>
          <w:b/>
          <w:sz w:val="44"/>
          <w:szCs w:val="44"/>
        </w:rPr>
      </w:pPr>
      <w:r>
        <w:rPr>
          <w:rFonts w:asciiTheme="minorEastAsia" w:hAnsiTheme="minorEastAsia"/>
          <w:b/>
          <w:sz w:val="44"/>
          <w:szCs w:val="44"/>
        </w:rPr>
        <w:t>第</w:t>
      </w:r>
      <w:r>
        <w:rPr>
          <w:rFonts w:hint="eastAsia" w:asciiTheme="minorEastAsia" w:hAnsiTheme="minorEastAsia"/>
          <w:b/>
          <w:sz w:val="44"/>
          <w:szCs w:val="44"/>
        </w:rPr>
        <w:t>一批</w:t>
      </w:r>
      <w:r>
        <w:rPr>
          <w:rFonts w:asciiTheme="minorEastAsia" w:hAnsiTheme="minorEastAsia"/>
          <w:b/>
          <w:sz w:val="44"/>
          <w:szCs w:val="44"/>
        </w:rPr>
        <w:t>住院医师规范化培训招生简章</w:t>
      </w:r>
    </w:p>
    <w:p>
      <w:pPr>
        <w:widowControl/>
        <w:spacing w:line="385" w:lineRule="atLeast"/>
        <w:jc w:val="left"/>
        <w:rPr>
          <w:rFonts w:ascii="仿宋_GB2312" w:hAnsi="Arial" w:eastAsia="仿宋_GB2312" w:cs="Arial"/>
          <w:b/>
          <w:color w:val="4A4A4A"/>
          <w:kern w:val="0"/>
          <w:sz w:val="32"/>
          <w:szCs w:val="32"/>
        </w:rPr>
      </w:pPr>
    </w:p>
    <w:p>
      <w:pPr>
        <w:widowControl/>
        <w:spacing w:line="385" w:lineRule="atLeast"/>
        <w:jc w:val="left"/>
        <w:rPr>
          <w:rFonts w:hint="eastAsia" w:ascii="黑体" w:hAnsi="黑体" w:eastAsia="黑体" w:cs="Arial"/>
          <w:b/>
          <w:kern w:val="0"/>
          <w:sz w:val="32"/>
          <w:szCs w:val="32"/>
        </w:rPr>
      </w:pPr>
      <w:r>
        <w:rPr>
          <w:rFonts w:hint="eastAsia" w:ascii="黑体" w:hAnsi="黑体" w:eastAsia="黑体" w:cs="Arial"/>
          <w:b/>
          <w:kern w:val="0"/>
          <w:sz w:val="32"/>
          <w:szCs w:val="32"/>
        </w:rPr>
        <w:t>一、医院概况</w:t>
      </w:r>
    </w:p>
    <w:p>
      <w:pPr>
        <w:widowControl/>
        <w:spacing w:line="385" w:lineRule="atLeast"/>
        <w:jc w:val="left"/>
        <w:rPr>
          <w:rFonts w:hint="eastAsia" w:ascii="黑体" w:hAnsi="黑体" w:eastAsia="黑体" w:cs="Arial"/>
          <w:b/>
          <w:kern w:val="0"/>
          <w:sz w:val="32"/>
          <w:szCs w:val="32"/>
        </w:rPr>
      </w:pPr>
      <w:r>
        <w:rPr>
          <w:rFonts w:ascii="宋体" w:hAnsi="宋体" w:eastAsia="宋体" w:cs="宋体"/>
          <w:sz w:val="24"/>
          <w:szCs w:val="24"/>
        </w:rPr>
        <w:drawing>
          <wp:inline distT="0" distB="0" distL="114300" distR="114300">
            <wp:extent cx="5299075" cy="3067685"/>
            <wp:effectExtent l="0" t="0" r="4445" b="1079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299075" cy="3067685"/>
                    </a:xfrm>
                    <a:prstGeom prst="rect">
                      <a:avLst/>
                    </a:prstGeom>
                    <a:noFill/>
                    <a:ln w="9525">
                      <a:noFill/>
                    </a:ln>
                  </pic:spPr>
                </pic:pic>
              </a:graphicData>
            </a:graphic>
          </wp:inline>
        </w:drawing>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广州市中西医结合医院是国家三级甲等中西医结合医院，全国重点中西医结合医院、国家中医住院医师规范化培训基地，国家中药临床药师培训基地、中国胸痛中心、国家卒中中心、广东省名中医院、广州市疑难病中西医协同示范中心等。医院占地面积5.7万平方米，业务用房10.9万平方米，开放床位1000张，现有员工1650余人，开设内、外、妇、儿、骨伤及针灸等一级临床科室28个，特色专科门诊63个，其中肿瘤科是国家中医重点专科建设单位，骨伤科、脑病科、肾病科、针灸科和临床药学等为广东省重点中医专科；骨伤科为广州市中医高水平重点专科，康复科、脑病科为广州市中医特色专科；治未病中心为广州市中医治未病中西医协作指导中心。</w:t>
      </w:r>
    </w:p>
    <w:p>
      <w:pPr>
        <w:widowControl/>
        <w:spacing w:line="385" w:lineRule="atLeast"/>
        <w:ind w:firstLine="560"/>
        <w:rPr>
          <w:rFonts w:hint="eastAsia" w:ascii="仿宋_GB2312" w:hAnsi="Arial" w:eastAsia="仿宋_GB2312" w:cs="Arial"/>
          <w:kern w:val="0"/>
          <w:sz w:val="32"/>
          <w:szCs w:val="32"/>
        </w:rPr>
      </w:pPr>
      <w:r>
        <w:rPr>
          <w:rFonts w:hint="eastAsia" w:ascii="仿宋_GB2312" w:hAnsi="Arial" w:eastAsia="仿宋_GB2312" w:cs="Arial"/>
          <w:kern w:val="0"/>
          <w:sz w:val="32"/>
          <w:szCs w:val="32"/>
        </w:rPr>
        <w:t>医院配备了3.0MRI、64排螺旋CT、DR/CR、西门子原装的syngo.via重建系统、Philip 及GE DSA数字减影血管造影机、彩色多普勒四维超声机等先进大型检查治疗设备。拥有17个医疗机构制剂品种、42种传统膏方、60余种中药特色封包及穴位贴敷剂等传统中医药特色制品。医院已获五级电子病历医院及四甲互联互通医院，可为市民提供的医疗服务。医院连续两年（2018年、2019年）在国家及广州市三级中西医结合医院综合年度绩效考评中名列A级，医院国考成绩单位列省内中西医结合医院首位。2021年门诊量130万余人次、住院量3万余人次。医院牵头组成医疗集团，下辖3家镇卫生院和4家社区服务中心。</w:t>
      </w:r>
    </w:p>
    <w:p>
      <w:pPr>
        <w:widowControl/>
        <w:spacing w:line="385" w:lineRule="atLeast"/>
        <w:ind w:left="0" w:leftChars="0" w:firstLine="220" w:firstLineChars="0"/>
        <w:rPr>
          <w:rFonts w:hint="eastAsia" w:ascii="仿宋_GB2312" w:hAnsi="Arial" w:eastAsia="仿宋_GB2312" w:cs="Arial"/>
          <w:kern w:val="0"/>
          <w:sz w:val="32"/>
          <w:szCs w:val="32"/>
        </w:rPr>
      </w:pPr>
      <w:r>
        <w:rPr>
          <w:rFonts w:ascii="宋体" w:hAnsi="宋体" w:eastAsia="宋体" w:cs="宋体"/>
          <w:sz w:val="24"/>
          <w:szCs w:val="24"/>
        </w:rPr>
        <w:drawing>
          <wp:inline distT="0" distB="0" distL="114300" distR="114300">
            <wp:extent cx="5398770" cy="3535680"/>
            <wp:effectExtent l="0" t="0" r="1143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5398770" cy="3535680"/>
                    </a:xfrm>
                    <a:prstGeom prst="rect">
                      <a:avLst/>
                    </a:prstGeom>
                    <a:noFill/>
                    <a:ln w="9525">
                      <a:noFill/>
                    </a:ln>
                  </pic:spPr>
                </pic:pic>
              </a:graphicData>
            </a:graphic>
          </wp:inline>
        </w:drawing>
      </w:r>
    </w:p>
    <w:p>
      <w:pPr>
        <w:widowControl/>
        <w:spacing w:line="385" w:lineRule="atLeast"/>
        <w:ind w:firstLine="560"/>
        <w:rPr>
          <w:rFonts w:hint="eastAsia" w:ascii="仿宋_GB2312" w:hAnsi="Arial" w:eastAsia="仿宋_GB2312" w:cs="Arial"/>
          <w:kern w:val="0"/>
          <w:sz w:val="32"/>
          <w:szCs w:val="32"/>
        </w:rPr>
      </w:pPr>
      <w:r>
        <w:rPr>
          <w:rFonts w:hint="eastAsia" w:ascii="仿宋_GB2312" w:hAnsi="Arial" w:eastAsia="仿宋_GB2312" w:cs="Arial"/>
          <w:kern w:val="0"/>
          <w:sz w:val="32"/>
          <w:szCs w:val="32"/>
        </w:rPr>
        <w:t>广州市中西医结合医院</w:t>
      </w:r>
      <w:r>
        <w:rPr>
          <w:rFonts w:hint="eastAsia" w:ascii="仿宋" w:hAnsi="仿宋" w:eastAsia="仿宋" w:cs="仿宋"/>
          <w:color w:val="000000"/>
          <w:sz w:val="32"/>
          <w:szCs w:val="32"/>
        </w:rPr>
        <w:t>2014年成为</w:t>
      </w:r>
      <w:r>
        <w:rPr>
          <w:rFonts w:hint="default" w:ascii="仿宋" w:hAnsi="仿宋" w:eastAsia="仿宋" w:cs="仿宋"/>
          <w:color w:val="000000"/>
          <w:sz w:val="32"/>
          <w:szCs w:val="32"/>
        </w:rPr>
        <w:t>国家中医药管理局认定的</w:t>
      </w:r>
      <w:r>
        <w:rPr>
          <w:rFonts w:hint="eastAsia" w:ascii="仿宋" w:hAnsi="仿宋" w:eastAsia="仿宋" w:cs="仿宋"/>
          <w:color w:val="000000"/>
          <w:sz w:val="32"/>
          <w:szCs w:val="32"/>
        </w:rPr>
        <w:t>中医住院医师规范化培训基地，</w:t>
      </w:r>
      <w:r>
        <w:rPr>
          <w:rFonts w:hint="eastAsia" w:ascii="仿宋" w:hAnsi="仿宋" w:eastAsia="仿宋" w:cs="仿宋"/>
          <w:color w:val="000000"/>
          <w:sz w:val="32"/>
          <w:szCs w:val="32"/>
          <w:lang w:val="en-US" w:eastAsia="zh-CN"/>
        </w:rPr>
        <w:t>2021年度正式作为</w:t>
      </w:r>
      <w:r>
        <w:rPr>
          <w:rFonts w:hint="default" w:ascii="仿宋" w:hAnsi="仿宋" w:eastAsia="仿宋" w:cs="仿宋"/>
          <w:color w:val="000000"/>
          <w:sz w:val="32"/>
          <w:szCs w:val="32"/>
          <w:lang w:eastAsia="zh-CN"/>
        </w:rPr>
        <w:t>广东省20家</w:t>
      </w:r>
      <w:r>
        <w:rPr>
          <w:rFonts w:hint="eastAsia" w:ascii="仿宋" w:hAnsi="仿宋" w:eastAsia="仿宋" w:cs="仿宋"/>
          <w:color w:val="000000"/>
          <w:sz w:val="32"/>
          <w:szCs w:val="32"/>
          <w:lang w:val="en-US" w:eastAsia="zh-CN"/>
        </w:rPr>
        <w:t>主基地</w:t>
      </w:r>
      <w:r>
        <w:rPr>
          <w:rFonts w:hint="default" w:ascii="仿宋" w:hAnsi="仿宋" w:eastAsia="仿宋" w:cs="仿宋"/>
          <w:color w:val="000000"/>
          <w:sz w:val="32"/>
          <w:szCs w:val="32"/>
          <w:lang w:eastAsia="zh-CN"/>
        </w:rPr>
        <w:t>之一</w:t>
      </w:r>
      <w:r>
        <w:rPr>
          <w:rFonts w:hint="eastAsia" w:ascii="仿宋" w:hAnsi="仿宋" w:eastAsia="仿宋" w:cs="仿宋"/>
          <w:color w:val="000000"/>
          <w:sz w:val="32"/>
          <w:szCs w:val="32"/>
          <w:lang w:val="en-US" w:eastAsia="zh-CN"/>
        </w:rPr>
        <w:t>自主招收住培医师。</w:t>
      </w:r>
    </w:p>
    <w:p>
      <w:pPr>
        <w:widowControl/>
        <w:spacing w:line="385" w:lineRule="atLeast"/>
        <w:ind w:firstLine="560"/>
        <w:rPr>
          <w:rFonts w:hint="default" w:ascii="仿宋_GB2312" w:hAnsi="Arial" w:eastAsia="仿宋_GB2312" w:cs="Arial"/>
          <w:kern w:val="0"/>
          <w:sz w:val="32"/>
          <w:szCs w:val="32"/>
          <w:lang w:eastAsia="zh-CN"/>
        </w:rPr>
      </w:pPr>
      <w:r>
        <w:rPr>
          <w:rFonts w:hint="default" w:ascii="仿宋_GB2312" w:hAnsi="Arial" w:eastAsia="仿宋_GB2312" w:cs="Arial"/>
          <w:kern w:val="0"/>
          <w:sz w:val="32"/>
          <w:szCs w:val="32"/>
          <w:lang w:eastAsia="zh-CN"/>
        </w:rPr>
        <w:t>医院临床技能培训中心建成于2017年11月，并于2019年成为2020-2024年度广东省科普教育基地</w:t>
      </w:r>
      <w:r>
        <w:rPr>
          <w:rFonts w:hint="eastAsia" w:ascii="仿宋_GB2312" w:hAnsi="Arial" w:eastAsia="仿宋_GB2312" w:cs="Arial"/>
          <w:kern w:val="0"/>
          <w:sz w:val="32"/>
          <w:szCs w:val="32"/>
          <w:lang w:eastAsia="zh-CN"/>
        </w:rPr>
        <w:t>，</w:t>
      </w:r>
      <w:r>
        <w:rPr>
          <w:rFonts w:hint="default" w:ascii="仿宋_GB2312" w:hAnsi="Arial" w:eastAsia="仿宋_GB2312" w:cs="Arial"/>
          <w:kern w:val="0"/>
          <w:sz w:val="32"/>
          <w:szCs w:val="32"/>
          <w:lang w:eastAsia="zh-CN"/>
        </w:rPr>
        <w:t>建筑面积1000平方米，</w:t>
      </w:r>
      <w:r>
        <w:rPr>
          <w:rFonts w:hint="eastAsia" w:ascii="仿宋_GB2312" w:hAnsi="Arial" w:eastAsia="仿宋_GB2312" w:cs="Arial"/>
          <w:kern w:val="0"/>
          <w:sz w:val="32"/>
          <w:szCs w:val="32"/>
          <w:lang w:eastAsia="zh-CN"/>
        </w:rPr>
        <w:t>依照国家住院医师规范化培训基地技能中心要求规划设置，分设</w:t>
      </w:r>
      <w:r>
        <w:rPr>
          <w:rFonts w:hint="default" w:ascii="仿宋_GB2312" w:hAnsi="Arial" w:eastAsia="仿宋_GB2312" w:cs="Arial"/>
          <w:kern w:val="0"/>
          <w:sz w:val="32"/>
          <w:szCs w:val="32"/>
          <w:lang w:eastAsia="zh-CN"/>
        </w:rPr>
        <w:t>会议室、PBL讨论室、模拟手术室、创伤急救、内外妇儿实训室及中医综合实训室等10大</w:t>
      </w:r>
      <w:r>
        <w:rPr>
          <w:rFonts w:hint="eastAsia" w:ascii="仿宋_GB2312" w:hAnsi="Arial" w:eastAsia="仿宋_GB2312" w:cs="Arial"/>
          <w:kern w:val="0"/>
          <w:sz w:val="32"/>
          <w:szCs w:val="32"/>
          <w:lang w:eastAsia="zh-CN"/>
        </w:rPr>
        <w:t>功能</w:t>
      </w:r>
      <w:r>
        <w:rPr>
          <w:rFonts w:hint="default" w:ascii="仿宋_GB2312" w:hAnsi="Arial" w:eastAsia="仿宋_GB2312" w:cs="Arial"/>
          <w:kern w:val="0"/>
          <w:sz w:val="32"/>
          <w:szCs w:val="32"/>
          <w:lang w:eastAsia="zh-CN"/>
        </w:rPr>
        <w:t>模块，</w:t>
      </w:r>
      <w:r>
        <w:rPr>
          <w:rFonts w:hint="default" w:ascii="仿宋_GB2312" w:hAnsi="Arial" w:eastAsia="仿宋_GB2312" w:cs="Arial"/>
          <w:kern w:val="0"/>
          <w:sz w:val="32"/>
          <w:szCs w:val="32"/>
        </w:rPr>
        <w:t>可开展模拟临床教学活动和医学科学普及活动</w:t>
      </w:r>
      <w:r>
        <w:rPr>
          <w:rFonts w:hint="eastAsia" w:ascii="仿宋_GB2312" w:hAnsi="Arial" w:eastAsia="仿宋_GB2312" w:cs="Arial"/>
          <w:kern w:val="0"/>
          <w:sz w:val="32"/>
          <w:szCs w:val="32"/>
          <w:lang w:eastAsia="zh-CN"/>
        </w:rPr>
        <w:t>，</w:t>
      </w:r>
      <w:r>
        <w:rPr>
          <w:rFonts w:hint="eastAsia" w:ascii="仿宋_GB2312" w:hAnsi="Arial" w:eastAsia="仿宋_GB2312" w:cs="Arial"/>
          <w:kern w:val="0"/>
          <w:sz w:val="32"/>
          <w:szCs w:val="32"/>
          <w:lang w:val="en-US" w:eastAsia="zh-CN"/>
        </w:rPr>
        <w:t>2022年已完成</w:t>
      </w:r>
      <w:r>
        <w:rPr>
          <w:rFonts w:hint="default" w:ascii="仿宋_GB2312" w:hAnsi="Arial" w:eastAsia="仿宋_GB2312" w:cs="Arial"/>
          <w:kern w:val="0"/>
          <w:sz w:val="32"/>
          <w:szCs w:val="32"/>
          <w:lang w:eastAsia="zh-CN"/>
        </w:rPr>
        <w:t>中医临床思维训练系统及手术视频示教系统</w:t>
      </w:r>
      <w:r>
        <w:rPr>
          <w:rFonts w:hint="eastAsia" w:ascii="仿宋_GB2312" w:hAnsi="Arial" w:eastAsia="仿宋_GB2312" w:cs="Arial"/>
          <w:kern w:val="0"/>
          <w:sz w:val="32"/>
          <w:szCs w:val="32"/>
          <w:lang w:eastAsia="zh-CN"/>
        </w:rPr>
        <w:t>的安装使用</w:t>
      </w:r>
      <w:r>
        <w:rPr>
          <w:rFonts w:hint="default" w:ascii="仿宋_GB2312" w:hAnsi="Arial" w:eastAsia="仿宋_GB2312" w:cs="Arial"/>
          <w:kern w:val="0"/>
          <w:sz w:val="32"/>
          <w:szCs w:val="32"/>
          <w:lang w:eastAsia="zh-CN"/>
        </w:rPr>
        <w:t>。</w:t>
      </w:r>
    </w:p>
    <w:p>
      <w:pPr>
        <w:widowControl/>
        <w:spacing w:line="385" w:lineRule="atLeast"/>
        <w:ind w:left="0" w:leftChars="0" w:firstLine="220" w:firstLineChars="0"/>
        <w:rPr>
          <w:rFonts w:hint="default" w:ascii="仿宋_GB2312" w:hAnsi="Arial" w:eastAsia="仿宋_GB2312" w:cs="Arial"/>
          <w:kern w:val="0"/>
          <w:sz w:val="32"/>
          <w:szCs w:val="32"/>
          <w:lang w:eastAsia="zh-CN"/>
        </w:rPr>
      </w:pPr>
      <w:r>
        <w:rPr>
          <w:rFonts w:hint="default" w:ascii="仿宋_GB2312" w:hAnsi="Arial" w:eastAsia="仿宋_GB2312" w:cs="Arial"/>
          <w:kern w:val="0"/>
          <w:sz w:val="32"/>
          <w:szCs w:val="32"/>
          <w:lang w:eastAsia="zh-CN"/>
        </w:rPr>
        <w:drawing>
          <wp:inline distT="0" distB="0" distL="114300" distR="114300">
            <wp:extent cx="5269230" cy="3954145"/>
            <wp:effectExtent l="0" t="0" r="3810" b="8255"/>
            <wp:docPr id="4" name="图片 4" descr="lADPDhJzyUqqoKjNA27NBJI_1170_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ADPDhJzyUqqoKjNA27NBJI_1170_878"/>
                    <pic:cNvPicPr>
                      <a:picLocks noChangeAspect="1"/>
                    </pic:cNvPicPr>
                  </pic:nvPicPr>
                  <pic:blipFill>
                    <a:blip r:embed="rId6"/>
                    <a:stretch>
                      <a:fillRect/>
                    </a:stretch>
                  </pic:blipFill>
                  <pic:spPr>
                    <a:xfrm>
                      <a:off x="0" y="0"/>
                      <a:ext cx="5269230" cy="3954145"/>
                    </a:xfrm>
                    <a:prstGeom prst="rect">
                      <a:avLst/>
                    </a:prstGeom>
                  </pic:spPr>
                </pic:pic>
              </a:graphicData>
            </a:graphic>
          </wp:inline>
        </w:drawing>
      </w:r>
    </w:p>
    <w:p>
      <w:pPr>
        <w:widowControl/>
        <w:spacing w:line="385" w:lineRule="atLeast"/>
        <w:ind w:firstLine="560"/>
        <w:rPr>
          <w:rFonts w:hint="default" w:ascii="仿宋_GB2312" w:hAnsi="Arial" w:eastAsia="仿宋_GB2312" w:cs="Arial"/>
          <w:kern w:val="0"/>
          <w:sz w:val="32"/>
          <w:szCs w:val="32"/>
          <w:lang w:eastAsia="zh-CN"/>
        </w:rPr>
      </w:pPr>
      <w:r>
        <w:rPr>
          <w:rFonts w:hint="eastAsia" w:ascii="仿宋_GB2312" w:hAnsi="Arial" w:eastAsia="仿宋_GB2312" w:cs="Arial"/>
          <w:kern w:val="0"/>
          <w:sz w:val="32"/>
          <w:szCs w:val="32"/>
          <w:lang w:val="en-US" w:eastAsia="zh-CN"/>
        </w:rPr>
        <w:t>在</w:t>
      </w:r>
      <w:r>
        <w:rPr>
          <w:rFonts w:hint="default" w:ascii="仿宋_GB2312" w:hAnsi="Arial" w:eastAsia="仿宋_GB2312" w:cs="Arial"/>
          <w:kern w:val="0"/>
          <w:sz w:val="32"/>
          <w:szCs w:val="32"/>
          <w:lang w:val="en-US" w:eastAsia="zh-CN"/>
        </w:rPr>
        <w:t>住培管理</w:t>
      </w:r>
      <w:r>
        <w:rPr>
          <w:rFonts w:hint="eastAsia" w:ascii="仿宋_GB2312" w:hAnsi="Arial" w:eastAsia="仿宋_GB2312" w:cs="Arial"/>
          <w:kern w:val="0"/>
          <w:sz w:val="32"/>
          <w:szCs w:val="32"/>
          <w:lang w:val="en-US" w:eastAsia="zh-CN"/>
        </w:rPr>
        <w:t>方面</w:t>
      </w:r>
      <w:r>
        <w:rPr>
          <w:rFonts w:hint="default" w:ascii="仿宋_GB2312" w:hAnsi="Arial" w:eastAsia="仿宋_GB2312" w:cs="Arial"/>
          <w:kern w:val="0"/>
          <w:sz w:val="32"/>
          <w:szCs w:val="32"/>
          <w:lang w:val="en-US" w:eastAsia="zh-CN"/>
        </w:rPr>
        <w:t>，住培学员可以使用外网以及手机APP登录使用住培系统、考试系统以及中医能力建设系统，实现随时随地学习、记录的便捷功能；通过钉钉创建“广州市中西医结合医院技能中心”搭建起师生间高效沟通反馈平台。此外，住培办通过设置“技能中心预约”、“图书借阅”、“参加教学活动登记”、“请假登记”等流程实现信息化管理。</w:t>
      </w:r>
    </w:p>
    <w:p>
      <w:pPr>
        <w:widowControl/>
        <w:spacing w:line="385" w:lineRule="atLeast"/>
        <w:ind w:firstLine="560"/>
        <w:rPr>
          <w:rFonts w:hint="default" w:ascii="仿宋_GB2312" w:hAnsi="Arial" w:eastAsia="仿宋_GB2312" w:cs="Arial"/>
          <w:kern w:val="0"/>
          <w:sz w:val="32"/>
          <w:szCs w:val="32"/>
        </w:rPr>
      </w:pPr>
      <w:r>
        <w:rPr>
          <w:rFonts w:hint="default" w:ascii="仿宋_GB2312" w:hAnsi="Arial" w:eastAsia="仿宋_GB2312" w:cs="Arial"/>
          <w:kern w:val="0"/>
          <w:sz w:val="32"/>
          <w:szCs w:val="32"/>
          <w:lang w:eastAsia="zh-CN"/>
        </w:rPr>
        <w:t>2021年7月，</w:t>
      </w:r>
      <w:r>
        <w:rPr>
          <w:rFonts w:hint="default" w:ascii="仿宋_GB2312" w:hAnsi="Arial" w:eastAsia="仿宋_GB2312" w:cs="Arial"/>
          <w:kern w:val="0"/>
          <w:sz w:val="32"/>
          <w:szCs w:val="32"/>
          <w:lang w:val="en-US" w:eastAsia="zh-CN"/>
        </w:rPr>
        <w:t>医院为住培学员</w:t>
      </w:r>
      <w:r>
        <w:rPr>
          <w:rFonts w:hint="default" w:ascii="仿宋_GB2312" w:hAnsi="Arial" w:eastAsia="仿宋_GB2312" w:cs="Arial"/>
          <w:kern w:val="0"/>
          <w:sz w:val="32"/>
          <w:szCs w:val="32"/>
          <w:lang w:eastAsia="zh-CN"/>
        </w:rPr>
        <w:t>提供的专属宿舍楼完成装修，</w:t>
      </w:r>
      <w:r>
        <w:rPr>
          <w:rFonts w:hint="default" w:ascii="仿宋_GB2312" w:hAnsi="Arial" w:eastAsia="仿宋_GB2312" w:cs="Arial"/>
          <w:kern w:val="0"/>
          <w:sz w:val="32"/>
          <w:szCs w:val="32"/>
          <w:lang w:val="en-US" w:eastAsia="zh-CN"/>
        </w:rPr>
        <w:t>配备专门宿管员管理</w:t>
      </w:r>
      <w:r>
        <w:rPr>
          <w:rFonts w:hint="default" w:ascii="仿宋_GB2312" w:hAnsi="Arial" w:eastAsia="仿宋_GB2312" w:cs="Arial"/>
          <w:kern w:val="0"/>
          <w:sz w:val="32"/>
          <w:szCs w:val="32"/>
          <w:lang w:eastAsia="zh-CN"/>
        </w:rPr>
        <w:t>以及</w:t>
      </w:r>
      <w:r>
        <w:rPr>
          <w:rFonts w:hint="default" w:ascii="仿宋_GB2312" w:hAnsi="Arial" w:eastAsia="仿宋_GB2312" w:cs="Arial"/>
          <w:kern w:val="0"/>
          <w:sz w:val="32"/>
          <w:szCs w:val="32"/>
          <w:lang w:val="en-US" w:eastAsia="zh-CN"/>
        </w:rPr>
        <w:t>空调热水器等</w:t>
      </w:r>
      <w:r>
        <w:rPr>
          <w:rFonts w:hint="default" w:ascii="仿宋_GB2312" w:hAnsi="Arial" w:eastAsia="仿宋_GB2312" w:cs="Arial"/>
          <w:kern w:val="0"/>
          <w:sz w:val="32"/>
          <w:szCs w:val="32"/>
          <w:lang w:eastAsia="zh-CN"/>
        </w:rPr>
        <w:t>硬件</w:t>
      </w:r>
      <w:r>
        <w:rPr>
          <w:rFonts w:hint="default" w:ascii="仿宋_GB2312" w:hAnsi="Arial" w:eastAsia="仿宋_GB2312" w:cs="Arial"/>
          <w:kern w:val="0"/>
          <w:sz w:val="32"/>
          <w:szCs w:val="32"/>
          <w:lang w:val="en-US" w:eastAsia="zh-CN"/>
        </w:rPr>
        <w:t>设施</w:t>
      </w:r>
      <w:r>
        <w:rPr>
          <w:rFonts w:hint="default" w:ascii="仿宋_GB2312" w:hAnsi="Arial" w:eastAsia="仿宋_GB2312" w:cs="Arial"/>
          <w:kern w:val="0"/>
          <w:sz w:val="32"/>
          <w:szCs w:val="32"/>
          <w:lang w:eastAsia="zh-CN"/>
        </w:rPr>
        <w:t>，实施酒店式管理</w:t>
      </w:r>
      <w:r>
        <w:rPr>
          <w:rFonts w:hint="default" w:ascii="仿宋_GB2312" w:hAnsi="Arial" w:eastAsia="仿宋_GB2312" w:cs="Arial"/>
          <w:kern w:val="0"/>
          <w:sz w:val="32"/>
          <w:szCs w:val="32"/>
          <w:lang w:val="en-US" w:eastAsia="zh-CN"/>
        </w:rPr>
        <w:t>。对于有更高住宿要求或有意愿外宿的学员，</w:t>
      </w:r>
      <w:r>
        <w:rPr>
          <w:rFonts w:hint="default" w:ascii="仿宋_GB2312" w:hAnsi="Arial" w:eastAsia="仿宋_GB2312" w:cs="Arial"/>
          <w:kern w:val="0"/>
          <w:sz w:val="32"/>
          <w:szCs w:val="32"/>
          <w:lang w:eastAsia="zh-CN"/>
        </w:rPr>
        <w:t>医院</w:t>
      </w:r>
      <w:r>
        <w:rPr>
          <w:rFonts w:hint="default" w:ascii="仿宋_GB2312" w:hAnsi="Arial" w:eastAsia="仿宋_GB2312" w:cs="Arial"/>
          <w:kern w:val="0"/>
          <w:sz w:val="32"/>
          <w:szCs w:val="32"/>
          <w:lang w:val="en-US" w:eastAsia="zh-CN"/>
        </w:rPr>
        <w:t>予以外宿补助</w:t>
      </w:r>
      <w:r>
        <w:rPr>
          <w:rFonts w:hint="eastAsia" w:ascii="仿宋_GB2312" w:hAnsi="Arial" w:eastAsia="仿宋_GB2312" w:cs="Arial"/>
          <w:kern w:val="0"/>
          <w:sz w:val="32"/>
          <w:szCs w:val="32"/>
          <w:lang w:val="en-US" w:eastAsia="zh-CN"/>
        </w:rPr>
        <w:t>。</w:t>
      </w:r>
    </w:p>
    <w:p>
      <w:pPr>
        <w:widowControl/>
        <w:spacing w:line="385" w:lineRule="atLeast"/>
        <w:ind w:firstLine="560"/>
        <w:rPr>
          <w:rFonts w:hint="eastAsia" w:ascii="仿宋_GB2312" w:hAnsi="Arial" w:eastAsia="仿宋_GB2312" w:cs="Arial"/>
          <w:kern w:val="0"/>
          <w:sz w:val="32"/>
          <w:szCs w:val="32"/>
        </w:rPr>
      </w:pPr>
      <w:r>
        <w:rPr>
          <w:rFonts w:hint="default" w:ascii="仿宋_GB2312" w:hAnsi="Arial" w:eastAsia="仿宋_GB2312" w:cs="Arial"/>
          <w:kern w:val="0"/>
          <w:sz w:val="32"/>
          <w:szCs w:val="32"/>
          <w:lang w:val="en-US" w:eastAsia="zh-CN"/>
        </w:rPr>
        <w:t>除中医临床培训外，医院还注重人文精神的培养，鼓励学员参与公益活动、中医特色活动如天灸、膏方节、医院文体活动如新年文艺表演、摄影比赛等等，丰富其住培生活并营造基地的亲和力。</w:t>
      </w:r>
      <w:r>
        <w:rPr>
          <w:rFonts w:hint="eastAsia" w:ascii="仿宋_GB2312" w:hAnsi="Arial" w:eastAsia="仿宋_GB2312" w:cs="Arial"/>
          <w:kern w:val="0"/>
          <w:sz w:val="32"/>
          <w:szCs w:val="32"/>
        </w:rPr>
        <w:t>自2014年至202</w:t>
      </w:r>
      <w:r>
        <w:rPr>
          <w:rFonts w:hint="eastAsia" w:ascii="仿宋_GB2312" w:hAnsi="Arial" w:eastAsia="仿宋_GB2312" w:cs="Arial"/>
          <w:kern w:val="0"/>
          <w:sz w:val="32"/>
          <w:szCs w:val="32"/>
          <w:lang w:val="en-US" w:eastAsia="zh-CN"/>
        </w:rPr>
        <w:t>1</w:t>
      </w:r>
      <w:r>
        <w:rPr>
          <w:rFonts w:hint="eastAsia" w:ascii="仿宋_GB2312" w:hAnsi="Arial" w:eastAsia="仿宋_GB2312" w:cs="Arial"/>
          <w:kern w:val="0"/>
          <w:sz w:val="32"/>
          <w:szCs w:val="32"/>
        </w:rPr>
        <w:t>年，医院共培养中医住培医师</w:t>
      </w:r>
      <w:r>
        <w:rPr>
          <w:rFonts w:hint="eastAsia" w:ascii="仿宋_GB2312" w:hAnsi="Arial" w:eastAsia="仿宋_GB2312" w:cs="Arial"/>
          <w:kern w:val="0"/>
          <w:sz w:val="32"/>
          <w:szCs w:val="32"/>
          <w:lang w:val="en-US" w:eastAsia="zh-CN"/>
        </w:rPr>
        <w:t>305</w:t>
      </w:r>
      <w:r>
        <w:rPr>
          <w:rFonts w:hint="eastAsia" w:ascii="仿宋_GB2312" w:hAnsi="Arial" w:eastAsia="仿宋_GB2312" w:cs="Arial"/>
          <w:kern w:val="0"/>
          <w:sz w:val="32"/>
          <w:szCs w:val="32"/>
        </w:rPr>
        <w:t>人，102名优秀学员留院工作，均对医院的住培工作表示认同。</w:t>
      </w:r>
    </w:p>
    <w:p>
      <w:pPr>
        <w:widowControl/>
        <w:spacing w:line="385" w:lineRule="atLeast"/>
        <w:ind w:firstLine="560"/>
        <w:rPr>
          <w:rFonts w:hint="eastAsia" w:ascii="仿宋_GB2312" w:hAnsi="Arial" w:eastAsia="仿宋_GB2312" w:cs="Arial"/>
          <w:kern w:val="0"/>
          <w:sz w:val="32"/>
          <w:szCs w:val="32"/>
          <w:lang w:eastAsia="zh-CN"/>
        </w:rPr>
      </w:pPr>
      <w:r>
        <w:rPr>
          <w:rFonts w:hint="eastAsia" w:ascii="仿宋_GB2312" w:hAnsi="Arial" w:eastAsia="仿宋_GB2312" w:cs="Arial"/>
          <w:kern w:val="0"/>
          <w:sz w:val="32"/>
          <w:szCs w:val="32"/>
          <w:lang w:eastAsia="zh-CN"/>
        </w:rPr>
        <w:drawing>
          <wp:inline distT="0" distB="0" distL="114300" distR="114300">
            <wp:extent cx="5274310" cy="3953510"/>
            <wp:effectExtent l="0" t="0" r="13970" b="889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7"/>
                    <a:stretch>
                      <a:fillRect/>
                    </a:stretch>
                  </pic:blipFill>
                  <pic:spPr>
                    <a:xfrm>
                      <a:off x="0" y="0"/>
                      <a:ext cx="5274310" cy="3953510"/>
                    </a:xfrm>
                    <a:prstGeom prst="rect">
                      <a:avLst/>
                    </a:prstGeom>
                  </pic:spPr>
                </pic:pic>
              </a:graphicData>
            </a:graphic>
          </wp:inline>
        </w:drawing>
      </w:r>
    </w:p>
    <w:p>
      <w:pPr>
        <w:widowControl/>
        <w:spacing w:line="385" w:lineRule="atLeast"/>
        <w:ind w:firstLine="560"/>
        <w:rPr>
          <w:rFonts w:hint="eastAsia" w:ascii="仿宋_GB2312" w:hAnsi="Arial" w:eastAsia="仿宋_GB2312" w:cs="Arial"/>
          <w:kern w:val="0"/>
          <w:sz w:val="32"/>
          <w:szCs w:val="32"/>
        </w:rPr>
      </w:pPr>
    </w:p>
    <w:p>
      <w:pPr>
        <w:widowControl/>
        <w:spacing w:line="385" w:lineRule="atLeast"/>
        <w:jc w:val="left"/>
        <w:rPr>
          <w:rFonts w:ascii="黑体" w:hAnsi="黑体" w:eastAsia="黑体" w:cs="Arial"/>
          <w:b/>
          <w:kern w:val="0"/>
          <w:sz w:val="32"/>
          <w:szCs w:val="32"/>
        </w:rPr>
      </w:pPr>
      <w:r>
        <w:rPr>
          <w:rFonts w:hint="eastAsia" w:ascii="黑体" w:hAnsi="黑体" w:eastAsia="黑体" w:cs="Arial"/>
          <w:b/>
          <w:kern w:val="0"/>
          <w:sz w:val="32"/>
          <w:szCs w:val="32"/>
        </w:rPr>
        <w:t>二、招生计划</w:t>
      </w:r>
    </w:p>
    <w:p>
      <w:pPr>
        <w:widowControl/>
        <w:spacing w:line="385" w:lineRule="atLeast"/>
        <w:ind w:firstLine="560"/>
        <w:rPr>
          <w:rFonts w:ascii="仿宋_GB2312" w:hAnsi="仿宋" w:eastAsia="仿宋_GB2312" w:cs="仿宋"/>
          <w:b/>
          <w:sz w:val="32"/>
          <w:szCs w:val="32"/>
        </w:rPr>
      </w:pPr>
      <w:r>
        <w:rPr>
          <w:rFonts w:hint="eastAsia" w:ascii="仿宋_GB2312" w:hAnsi="Arial" w:eastAsia="仿宋_GB2312" w:cs="Arial"/>
          <w:kern w:val="0"/>
          <w:sz w:val="32"/>
          <w:szCs w:val="32"/>
        </w:rPr>
        <w:t>拟招收2022年中医住院医师规范化培训学员</w:t>
      </w:r>
      <w:r>
        <w:rPr>
          <w:rFonts w:hint="eastAsia" w:ascii="仿宋_GB2312" w:hAnsi="仿宋" w:eastAsia="仿宋_GB2312" w:cs="仿宋"/>
          <w:sz w:val="32"/>
          <w:szCs w:val="32"/>
        </w:rPr>
        <w:t>共50人，培训类别包括：中医和中医全科。其中，中医40名，中医全科10名。</w:t>
      </w:r>
    </w:p>
    <w:p>
      <w:pPr>
        <w:widowControl/>
        <w:spacing w:line="385" w:lineRule="atLeast"/>
        <w:ind w:firstLine="141"/>
        <w:jc w:val="left"/>
        <w:rPr>
          <w:rFonts w:ascii="黑体" w:hAnsi="黑体" w:eastAsia="黑体" w:cs="Arial"/>
          <w:b/>
          <w:kern w:val="0"/>
          <w:sz w:val="32"/>
          <w:szCs w:val="32"/>
        </w:rPr>
      </w:pPr>
      <w:r>
        <w:rPr>
          <w:rFonts w:hint="eastAsia" w:ascii="黑体" w:hAnsi="黑体" w:eastAsia="黑体" w:cs="Arial"/>
          <w:b/>
          <w:kern w:val="0"/>
          <w:sz w:val="32"/>
          <w:szCs w:val="32"/>
        </w:rPr>
        <w:t>三、报名条件</w:t>
      </w:r>
    </w:p>
    <w:p>
      <w:pPr>
        <w:pStyle w:val="18"/>
        <w:shd w:val="clear" w:color="auto" w:fill="FFFFFF"/>
        <w:spacing w:before="0" w:beforeAutospacing="0" w:after="150" w:afterAutospacing="0"/>
        <w:ind w:firstLine="640"/>
        <w:rPr>
          <w:rFonts w:ascii="Helvetica" w:hAnsi="Helvetica" w:cs="Helvetica"/>
          <w:color w:val="333333"/>
          <w:sz w:val="21"/>
          <w:szCs w:val="21"/>
        </w:rPr>
      </w:pPr>
      <w:r>
        <w:rPr>
          <w:rFonts w:hint="eastAsia" w:ascii="仿宋_GB2312" w:hAnsi="Arial" w:eastAsia="仿宋_GB2312" w:cs="Arial"/>
          <w:sz w:val="32"/>
          <w:szCs w:val="32"/>
        </w:rPr>
        <w:t>（一）</w:t>
      </w:r>
      <w:r>
        <w:rPr>
          <w:rFonts w:hint="eastAsia" w:ascii="仿宋_GB2312" w:hAnsi="Helvetica" w:eastAsia="仿宋_GB2312" w:cs="Helvetica"/>
          <w:color w:val="333333"/>
          <w:sz w:val="32"/>
          <w:szCs w:val="32"/>
        </w:rPr>
        <w:t>思想政治素质好，遵纪守法，作风正派，具有良好的职业道德，团队合作意识强，服从医院工作安排。</w:t>
      </w:r>
    </w:p>
    <w:p>
      <w:pPr>
        <w:pStyle w:val="18"/>
        <w:shd w:val="clear" w:color="auto" w:fill="FFFFFF"/>
        <w:spacing w:before="0" w:beforeAutospacing="0" w:after="150" w:afterAutospacing="0"/>
        <w:ind w:firstLine="640"/>
        <w:rPr>
          <w:rFonts w:ascii="Helvetica" w:hAnsi="Helvetica" w:cs="Helvetica"/>
          <w:color w:val="333333"/>
          <w:sz w:val="21"/>
          <w:szCs w:val="21"/>
        </w:rPr>
      </w:pPr>
      <w:r>
        <w:rPr>
          <w:rFonts w:hint="eastAsia" w:ascii="仿宋_GB2312" w:hAnsi="Arial" w:eastAsia="仿宋_GB2312" w:cs="Arial"/>
          <w:sz w:val="32"/>
          <w:szCs w:val="32"/>
        </w:rPr>
        <w:t>（二）</w:t>
      </w:r>
      <w:r>
        <w:rPr>
          <w:rFonts w:hint="eastAsia" w:ascii="仿宋_GB2312" w:hAnsi="Helvetica" w:eastAsia="仿宋_GB2312" w:cs="Helvetica"/>
          <w:color w:val="333333"/>
          <w:sz w:val="32"/>
          <w:szCs w:val="32"/>
        </w:rPr>
        <w:t>自愿参加中医住院医师规范化培训，具有正常履行培训岗位的身体条件，</w:t>
      </w:r>
      <w:r>
        <w:rPr>
          <w:rFonts w:hint="eastAsia" w:ascii="仿宋_GB2312" w:hAnsi="Arial" w:eastAsia="仿宋_GB2312" w:cs="Arial"/>
          <w:sz w:val="32"/>
          <w:szCs w:val="32"/>
        </w:rPr>
        <w:t>自觉遵守医院相关培训管理制度,</w:t>
      </w:r>
      <w:r>
        <w:rPr>
          <w:rFonts w:hint="eastAsia" w:ascii="仿宋_GB2312" w:hAnsi="Helvetica" w:eastAsia="仿宋_GB2312" w:cs="Helvetica"/>
          <w:color w:val="333333"/>
          <w:sz w:val="32"/>
          <w:szCs w:val="32"/>
        </w:rPr>
        <w:t>结业后拟在广东地区从事中医临床工作的人员。</w:t>
      </w:r>
    </w:p>
    <w:p>
      <w:pPr>
        <w:widowControl/>
        <w:spacing w:line="385" w:lineRule="atLeast"/>
        <w:ind w:firstLine="640" w:firstLineChars="200"/>
        <w:rPr>
          <w:rFonts w:ascii="仿宋_GB2312" w:hAnsi="Arial" w:eastAsia="仿宋_GB2312" w:cs="Arial"/>
          <w:kern w:val="0"/>
          <w:sz w:val="32"/>
          <w:szCs w:val="32"/>
        </w:rPr>
      </w:pPr>
      <w:r>
        <w:rPr>
          <w:rFonts w:hint="eastAsia" w:ascii="仿宋_GB2312" w:hAnsi="Arial" w:eastAsia="仿宋_GB2312" w:cs="Arial"/>
          <w:kern w:val="0"/>
          <w:sz w:val="32"/>
          <w:szCs w:val="32"/>
        </w:rPr>
        <w:t>（三）拟从事中医临床医疗工作的中医学类（不包括民族医类）、中西医结合类专业本科及以上学历毕业生。</w:t>
      </w:r>
    </w:p>
    <w:p>
      <w:pPr>
        <w:widowControl/>
        <w:spacing w:line="385" w:lineRule="atLeast"/>
        <w:ind w:firstLine="640" w:firstLineChars="200"/>
        <w:rPr>
          <w:rFonts w:ascii="仿宋_GB2312" w:hAnsi="Arial" w:eastAsia="仿宋_GB2312" w:cs="Arial"/>
          <w:kern w:val="0"/>
          <w:sz w:val="32"/>
          <w:szCs w:val="32"/>
        </w:rPr>
      </w:pPr>
      <w:r>
        <w:rPr>
          <w:rFonts w:hint="eastAsia" w:ascii="仿宋_GB2312" w:hAnsi="Arial" w:eastAsia="仿宋_GB2312" w:cs="Arial"/>
          <w:kern w:val="0"/>
          <w:sz w:val="32"/>
          <w:szCs w:val="32"/>
        </w:rPr>
        <w:t>（四）已从事临床医疗工作并获得执业医师资格，需要接受培训的人员及其他需要接受培训的人员。</w:t>
      </w:r>
    </w:p>
    <w:p>
      <w:pPr>
        <w:pStyle w:val="16"/>
        <w:ind w:firstLine="640"/>
        <w:rPr>
          <w:rFonts w:ascii="仿宋_GB2312" w:hAnsi="仿宋" w:eastAsia="仿宋_GB2312" w:cs="仿宋"/>
          <w:sz w:val="32"/>
          <w:szCs w:val="32"/>
        </w:rPr>
      </w:pPr>
      <w:r>
        <w:rPr>
          <w:rFonts w:hint="eastAsia" w:ascii="仿宋_GB2312" w:hAnsi="仿宋" w:eastAsia="仿宋_GB2312" w:cs="仿宋"/>
          <w:sz w:val="32"/>
          <w:szCs w:val="32"/>
        </w:rPr>
        <w:t>（五）单位委托培养人员（</w:t>
      </w:r>
      <w:r>
        <w:rPr>
          <w:rFonts w:hint="eastAsia" w:ascii="仿宋_GB2312" w:eastAsia="仿宋_GB2312"/>
          <w:color w:val="333333"/>
          <w:sz w:val="32"/>
          <w:szCs w:val="32"/>
          <w:shd w:val="clear" w:color="auto" w:fill="FFFFFF"/>
        </w:rPr>
        <w:t>简称“单位人”</w:t>
      </w:r>
      <w:r>
        <w:rPr>
          <w:rFonts w:hint="eastAsia" w:ascii="仿宋_GB2312" w:hAnsi="仿宋" w:eastAsia="仿宋_GB2312" w:cs="仿宋"/>
          <w:sz w:val="32"/>
          <w:szCs w:val="32"/>
        </w:rPr>
        <w:t>）</w:t>
      </w:r>
      <w:r>
        <w:rPr>
          <w:rFonts w:hint="eastAsia" w:ascii="仿宋_GB2312" w:hAnsi="仿宋_GB2312" w:eastAsia="仿宋_GB2312" w:cs="仿宋_GB2312"/>
          <w:sz w:val="32"/>
          <w:szCs w:val="32"/>
        </w:rPr>
        <w:t>招收对象须为已在广东省内医疗机构从事中医临床工作的人员，</w:t>
      </w:r>
      <w:r>
        <w:rPr>
          <w:rFonts w:hint="eastAsia" w:ascii="仿宋_GB2312" w:hAnsi="仿宋" w:eastAsia="仿宋_GB2312" w:cs="仿宋"/>
          <w:sz w:val="32"/>
          <w:szCs w:val="32"/>
        </w:rPr>
        <w:t>由其单位统一选送，需征得单位同意后再报名，基层医疗机构单位人优先，不接受个人以“委培学员”身份报考。</w:t>
      </w:r>
    </w:p>
    <w:p>
      <w:pPr>
        <w:pStyle w:val="16"/>
        <w:ind w:firstLine="640"/>
        <w:rPr>
          <w:rFonts w:ascii="仿宋_GB2312" w:hAnsi="仿宋" w:eastAsia="仿宋_GB2312" w:cs="仿宋"/>
          <w:sz w:val="32"/>
          <w:szCs w:val="32"/>
        </w:rPr>
      </w:pPr>
      <w:r>
        <w:rPr>
          <w:rFonts w:hint="eastAsia" w:ascii="仿宋_GB2312" w:hAnsi="仿宋" w:eastAsia="仿宋_GB2312" w:cs="仿宋"/>
          <w:sz w:val="32"/>
          <w:szCs w:val="32"/>
        </w:rPr>
        <w:t>（六）报考中医全科专业者优先。</w:t>
      </w:r>
    </w:p>
    <w:p>
      <w:pPr>
        <w:widowControl/>
        <w:spacing w:line="385" w:lineRule="atLeast"/>
        <w:ind w:firstLine="141"/>
        <w:jc w:val="left"/>
        <w:rPr>
          <w:rFonts w:ascii="黑体" w:hAnsi="黑体" w:eastAsia="黑体" w:cs="Arial"/>
          <w:b/>
          <w:kern w:val="0"/>
          <w:sz w:val="32"/>
          <w:szCs w:val="32"/>
        </w:rPr>
      </w:pPr>
      <w:r>
        <w:rPr>
          <w:rFonts w:hint="eastAsia" w:ascii="黑体" w:hAnsi="黑体" w:eastAsia="黑体" w:cs="Arial"/>
          <w:b/>
          <w:kern w:val="0"/>
          <w:sz w:val="32"/>
          <w:szCs w:val="32"/>
        </w:rPr>
        <w:t>四、学员待遇</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1、不需缴纳培训费用。</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2、社会招收学员与基地签订</w:t>
      </w:r>
      <w:r>
        <w:rPr>
          <w:rFonts w:hint="eastAsia" w:ascii="仿宋_GB2312" w:hAnsi="Arial" w:eastAsia="仿宋_GB2312" w:cs="Arial"/>
          <w:color w:val="0C0C0C" w:themeColor="text1" w:themeTint="F2"/>
          <w:kern w:val="0"/>
          <w:sz w:val="32"/>
          <w:szCs w:val="32"/>
        </w:rPr>
        <w:t>《劳动合同》，</w:t>
      </w:r>
      <w:r>
        <w:rPr>
          <w:rFonts w:hint="eastAsia" w:ascii="仿宋_GB2312" w:hAnsi="Arial" w:eastAsia="仿宋_GB2312" w:cs="Arial"/>
          <w:kern w:val="0"/>
          <w:sz w:val="32"/>
          <w:szCs w:val="32"/>
        </w:rPr>
        <w:t>单位委托培养学员与基地签订三方《培训协议》。</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3、办理执业医师考试及注册管理手续。</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4、人事管理：</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1）社会招收学员：按照《广东省人民政府办公厅关于印发广东省加快医学教育创新发展实施方案的通知》（粤府办〔2021〕2号），基地依法签订劳动合同，明确培训期间双方权利义务，劳动合同到期后依法终止，培训对象自主择业；人事档案、户籍等自行委托人才市场负责管理；享受《住院医师规范化培训管理办法（试行）》及省中医药局规定的相关待遇。</w:t>
      </w:r>
    </w:p>
    <w:p>
      <w:pPr>
        <w:widowControl/>
        <w:spacing w:line="385" w:lineRule="atLeast"/>
        <w:ind w:firstLine="280"/>
        <w:rPr>
          <w:rFonts w:ascii="仿宋_GB2312" w:hAnsi="Arial" w:eastAsia="仿宋_GB2312" w:cs="Arial"/>
          <w:kern w:val="0"/>
          <w:sz w:val="32"/>
          <w:szCs w:val="32"/>
        </w:rPr>
      </w:pPr>
      <w:r>
        <w:rPr>
          <w:rFonts w:hint="eastAsia" w:ascii="仿宋_GB2312" w:hAnsi="Arial" w:eastAsia="仿宋_GB2312" w:cs="Arial"/>
          <w:kern w:val="0"/>
          <w:sz w:val="32"/>
          <w:szCs w:val="32"/>
        </w:rPr>
        <w:t>（2）单位委托培养学员：由委托培养单位管理人事档案，委托培养单位需按照国家及省相关规定发放待遇。</w:t>
      </w:r>
    </w:p>
    <w:p>
      <w:pPr>
        <w:pStyle w:val="16"/>
        <w:ind w:firstLine="640"/>
        <w:rPr>
          <w:rFonts w:hint="eastAsia" w:ascii="仿宋_GB2312" w:hAnsi="Arial" w:eastAsia="仿宋_GB2312" w:cs="Arial"/>
          <w:sz w:val="32"/>
          <w:szCs w:val="32"/>
        </w:rPr>
      </w:pPr>
      <w:r>
        <w:rPr>
          <w:rFonts w:hint="eastAsia" w:ascii="仿宋_GB2312" w:hAnsi="Arial" w:eastAsia="仿宋_GB2312" w:cs="Arial"/>
          <w:sz w:val="32"/>
          <w:szCs w:val="32"/>
        </w:rPr>
        <w:t>社会招收学员</w:t>
      </w:r>
      <w:r>
        <w:rPr>
          <w:rFonts w:hint="eastAsia" w:ascii="仿宋_GB2312" w:hAnsi="Arial" w:eastAsia="仿宋_GB2312" w:cs="Arial"/>
          <w:sz w:val="32"/>
          <w:szCs w:val="32"/>
          <w:lang w:eastAsia="zh-CN"/>
        </w:rPr>
        <w:t>：</w:t>
      </w:r>
      <w:r>
        <w:rPr>
          <w:rFonts w:hint="eastAsia" w:ascii="仿宋_GB2312" w:hAnsi="仿宋" w:eastAsia="仿宋_GB2312" w:cs="仿宋"/>
          <w:sz w:val="32"/>
          <w:szCs w:val="32"/>
          <w:lang w:eastAsia="zh-CN"/>
        </w:rPr>
        <w:t>固定</w:t>
      </w:r>
      <w:r>
        <w:rPr>
          <w:rFonts w:hint="eastAsia" w:ascii="仿宋_GB2312" w:hAnsi="仿宋" w:eastAsia="仿宋_GB2312" w:cs="仿宋"/>
          <w:sz w:val="32"/>
          <w:szCs w:val="32"/>
        </w:rPr>
        <w:t>待遇如下表，</w:t>
      </w:r>
      <w:r>
        <w:rPr>
          <w:rFonts w:hint="eastAsia" w:ascii="仿宋_GB2312" w:hAnsi="Arial" w:eastAsia="仿宋_GB2312" w:cs="Arial"/>
          <w:sz w:val="32"/>
          <w:szCs w:val="32"/>
        </w:rPr>
        <w:t>单位委托培养学员待遇由委托培养单位与基地补助两部分组成，与社会招收学员持平。</w:t>
      </w:r>
    </w:p>
    <w:tbl>
      <w:tblPr>
        <w:tblStyle w:val="8"/>
        <w:tblpPr w:leftFromText="180" w:rightFromText="180" w:vertAnchor="text" w:horzAnchor="page" w:tblpX="2041" w:tblpY="623"/>
        <w:tblOverlap w:val="never"/>
        <w:tblW w:w="8125" w:type="dxa"/>
        <w:tblCellSpacing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8"/>
        <w:gridCol w:w="1984"/>
        <w:gridCol w:w="1120"/>
        <w:gridCol w:w="1053"/>
        <w:gridCol w:w="1013"/>
        <w:gridCol w:w="1200"/>
        <w:gridCol w:w="1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66" w:hRule="atLeast"/>
          <w:tblCellSpacing w:w="0" w:type="dxa"/>
        </w:trPr>
        <w:tc>
          <w:tcPr>
            <w:tcW w:w="2312" w:type="dxa"/>
            <w:gridSpan w:val="2"/>
            <w:tcBorders>
              <w:tl2br w:val="nil"/>
              <w:tr2bl w:val="nil"/>
            </w:tcBorders>
            <w:vAlign w:val="center"/>
          </w:tcPr>
          <w:p>
            <w:pPr>
              <w:spacing w:beforeLines="50"/>
              <w:jc w:val="center"/>
              <w:rPr>
                <w:b/>
                <w:sz w:val="18"/>
                <w:szCs w:val="18"/>
              </w:rPr>
            </w:pPr>
            <w:r>
              <w:rPr>
                <w:rFonts w:hint="eastAsia"/>
                <w:b/>
                <w:sz w:val="18"/>
                <w:szCs w:val="18"/>
              </w:rPr>
              <w:t>培训年限</w:t>
            </w:r>
          </w:p>
        </w:tc>
        <w:tc>
          <w:tcPr>
            <w:tcW w:w="1120" w:type="dxa"/>
            <w:tcBorders>
              <w:tl2br w:val="nil"/>
              <w:tr2bl w:val="nil"/>
            </w:tcBorders>
            <w:vAlign w:val="center"/>
          </w:tcPr>
          <w:p>
            <w:pPr>
              <w:spacing w:beforeLines="50"/>
              <w:jc w:val="center"/>
              <w:rPr>
                <w:b/>
                <w:sz w:val="18"/>
                <w:szCs w:val="18"/>
              </w:rPr>
            </w:pPr>
            <w:r>
              <w:rPr>
                <w:rFonts w:hint="eastAsia"/>
                <w:b/>
                <w:sz w:val="18"/>
                <w:szCs w:val="18"/>
              </w:rPr>
              <w:t>基本补助</w:t>
            </w:r>
          </w:p>
          <w:p>
            <w:pPr>
              <w:spacing w:beforeLines="50"/>
              <w:jc w:val="center"/>
              <w:rPr>
                <w:b/>
                <w:sz w:val="18"/>
                <w:szCs w:val="18"/>
              </w:rPr>
            </w:pPr>
            <w:r>
              <w:rPr>
                <w:rFonts w:hint="eastAsia"/>
                <w:b/>
                <w:sz w:val="18"/>
                <w:szCs w:val="18"/>
              </w:rPr>
              <w:t>元</w:t>
            </w:r>
            <w:r>
              <w:rPr>
                <w:b/>
                <w:sz w:val="18"/>
                <w:szCs w:val="18"/>
              </w:rPr>
              <w:t>/</w:t>
            </w:r>
            <w:r>
              <w:rPr>
                <w:rFonts w:hint="eastAsia"/>
                <w:b/>
                <w:sz w:val="18"/>
                <w:szCs w:val="18"/>
              </w:rPr>
              <w:t>月</w:t>
            </w:r>
          </w:p>
        </w:tc>
        <w:tc>
          <w:tcPr>
            <w:tcW w:w="1053" w:type="dxa"/>
            <w:tcBorders>
              <w:tl2br w:val="nil"/>
              <w:tr2bl w:val="nil"/>
            </w:tcBorders>
            <w:vAlign w:val="center"/>
          </w:tcPr>
          <w:p>
            <w:pPr>
              <w:spacing w:beforeLines="50"/>
              <w:jc w:val="center"/>
              <w:rPr>
                <w:b/>
                <w:sz w:val="18"/>
                <w:szCs w:val="18"/>
              </w:rPr>
            </w:pPr>
            <w:r>
              <w:rPr>
                <w:rFonts w:hint="eastAsia"/>
                <w:b/>
                <w:sz w:val="18"/>
                <w:szCs w:val="18"/>
              </w:rPr>
              <w:t>生活补助</w:t>
            </w:r>
          </w:p>
          <w:p>
            <w:pPr>
              <w:spacing w:beforeLines="50"/>
              <w:jc w:val="center"/>
              <w:rPr>
                <w:b/>
                <w:sz w:val="18"/>
                <w:szCs w:val="18"/>
              </w:rPr>
            </w:pPr>
            <w:r>
              <w:rPr>
                <w:rFonts w:hint="eastAsia"/>
                <w:b/>
                <w:sz w:val="18"/>
                <w:szCs w:val="18"/>
              </w:rPr>
              <w:t>元</w:t>
            </w:r>
            <w:r>
              <w:rPr>
                <w:b/>
                <w:sz w:val="18"/>
                <w:szCs w:val="18"/>
              </w:rPr>
              <w:t>/</w:t>
            </w:r>
            <w:r>
              <w:rPr>
                <w:rFonts w:hint="eastAsia"/>
                <w:b/>
                <w:sz w:val="18"/>
                <w:szCs w:val="18"/>
              </w:rPr>
              <w:t>月</w:t>
            </w:r>
          </w:p>
        </w:tc>
        <w:tc>
          <w:tcPr>
            <w:tcW w:w="1013" w:type="dxa"/>
            <w:tcBorders>
              <w:tl2br w:val="nil"/>
              <w:tr2bl w:val="nil"/>
            </w:tcBorders>
            <w:vAlign w:val="center"/>
          </w:tcPr>
          <w:p>
            <w:pPr>
              <w:spacing w:beforeLines="50"/>
              <w:jc w:val="center"/>
              <w:rPr>
                <w:b/>
                <w:sz w:val="18"/>
                <w:szCs w:val="18"/>
              </w:rPr>
            </w:pPr>
            <w:r>
              <w:rPr>
                <w:rFonts w:hint="eastAsia"/>
                <w:b/>
                <w:sz w:val="18"/>
                <w:szCs w:val="18"/>
              </w:rPr>
              <w:t>住宿补助</w:t>
            </w:r>
          </w:p>
          <w:p>
            <w:pPr>
              <w:spacing w:beforeLines="50"/>
              <w:jc w:val="center"/>
              <w:rPr>
                <w:b/>
                <w:sz w:val="18"/>
                <w:szCs w:val="18"/>
              </w:rPr>
            </w:pPr>
            <w:r>
              <w:rPr>
                <w:rFonts w:hint="eastAsia"/>
                <w:b/>
                <w:sz w:val="18"/>
                <w:szCs w:val="18"/>
              </w:rPr>
              <w:t>元</w:t>
            </w:r>
            <w:r>
              <w:rPr>
                <w:b/>
                <w:sz w:val="18"/>
                <w:szCs w:val="18"/>
              </w:rPr>
              <w:t>/</w:t>
            </w:r>
            <w:r>
              <w:rPr>
                <w:rFonts w:hint="eastAsia"/>
                <w:b/>
                <w:sz w:val="18"/>
                <w:szCs w:val="18"/>
              </w:rPr>
              <w:t>月</w:t>
            </w:r>
          </w:p>
        </w:tc>
        <w:tc>
          <w:tcPr>
            <w:tcW w:w="1200" w:type="dxa"/>
            <w:tcBorders>
              <w:tl2br w:val="nil"/>
              <w:tr2bl w:val="nil"/>
            </w:tcBorders>
            <w:vAlign w:val="center"/>
          </w:tcPr>
          <w:p>
            <w:pPr>
              <w:spacing w:beforeLines="50"/>
              <w:jc w:val="center"/>
              <w:rPr>
                <w:b/>
                <w:sz w:val="18"/>
                <w:szCs w:val="18"/>
              </w:rPr>
            </w:pPr>
            <w:r>
              <w:rPr>
                <w:rFonts w:hint="eastAsia"/>
                <w:b/>
                <w:sz w:val="18"/>
                <w:szCs w:val="18"/>
              </w:rPr>
              <w:t>奖学金</w:t>
            </w:r>
          </w:p>
          <w:p>
            <w:pPr>
              <w:spacing w:beforeLines="50"/>
              <w:jc w:val="center"/>
              <w:rPr>
                <w:b/>
                <w:sz w:val="18"/>
                <w:szCs w:val="18"/>
              </w:rPr>
            </w:pPr>
            <w:r>
              <w:rPr>
                <w:rFonts w:hint="eastAsia"/>
                <w:b/>
                <w:sz w:val="18"/>
                <w:szCs w:val="18"/>
              </w:rPr>
              <w:t>元</w:t>
            </w:r>
            <w:r>
              <w:rPr>
                <w:b/>
                <w:sz w:val="18"/>
                <w:szCs w:val="18"/>
              </w:rPr>
              <w:t>/</w:t>
            </w:r>
            <w:r>
              <w:rPr>
                <w:rFonts w:hint="eastAsia"/>
                <w:b/>
                <w:sz w:val="18"/>
                <w:szCs w:val="18"/>
              </w:rPr>
              <w:t>年</w:t>
            </w:r>
          </w:p>
        </w:tc>
        <w:tc>
          <w:tcPr>
            <w:tcW w:w="1427" w:type="dxa"/>
            <w:tcBorders>
              <w:tl2br w:val="nil"/>
              <w:tr2bl w:val="nil"/>
            </w:tcBorders>
            <w:vAlign w:val="center"/>
          </w:tcPr>
          <w:p>
            <w:pPr>
              <w:spacing w:beforeLines="50"/>
              <w:jc w:val="center"/>
              <w:rPr>
                <w:b/>
                <w:sz w:val="18"/>
                <w:szCs w:val="18"/>
              </w:rPr>
            </w:pPr>
            <w:r>
              <w:rPr>
                <w:rFonts w:hint="eastAsia"/>
                <w:b/>
                <w:sz w:val="18"/>
                <w:szCs w:val="18"/>
              </w:rPr>
              <w:t>总计</w:t>
            </w:r>
          </w:p>
          <w:p>
            <w:pPr>
              <w:spacing w:beforeLines="50"/>
              <w:jc w:val="center"/>
              <w:rPr>
                <w:sz w:val="18"/>
                <w:szCs w:val="18"/>
              </w:rPr>
            </w:pPr>
            <w:r>
              <w:rPr>
                <w:rFonts w:hint="eastAsia"/>
                <w:b/>
                <w:sz w:val="18"/>
                <w:szCs w:val="18"/>
              </w:rPr>
              <w:t>元</w:t>
            </w:r>
            <w:r>
              <w:rPr>
                <w:b/>
                <w:sz w:val="18"/>
                <w:szCs w:val="18"/>
              </w:rPr>
              <w:t>/</w:t>
            </w:r>
            <w:r>
              <w:rPr>
                <w:rFonts w:hint="eastAsia"/>
                <w:b/>
                <w:sz w:val="18"/>
                <w:szCs w:val="18"/>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77" w:hRule="atLeast"/>
          <w:tblCellSpacing w:w="0" w:type="dxa"/>
        </w:trPr>
        <w:tc>
          <w:tcPr>
            <w:tcW w:w="328" w:type="dxa"/>
            <w:vMerge w:val="restart"/>
            <w:tcBorders>
              <w:tl2br w:val="nil"/>
              <w:tr2bl w:val="nil"/>
            </w:tcBorders>
            <w:vAlign w:val="center"/>
          </w:tcPr>
          <w:p>
            <w:pPr>
              <w:spacing w:beforeLines="50"/>
              <w:jc w:val="center"/>
              <w:rPr>
                <w:b/>
                <w:sz w:val="18"/>
                <w:szCs w:val="18"/>
              </w:rPr>
            </w:pPr>
            <w:r>
              <w:rPr>
                <w:rFonts w:hint="eastAsia"/>
                <w:b/>
                <w:sz w:val="18"/>
                <w:szCs w:val="18"/>
              </w:rPr>
              <w:t>第一年</w:t>
            </w:r>
          </w:p>
        </w:tc>
        <w:tc>
          <w:tcPr>
            <w:tcW w:w="1984" w:type="dxa"/>
            <w:tcBorders>
              <w:tl2br w:val="nil"/>
              <w:tr2bl w:val="nil"/>
            </w:tcBorders>
            <w:vAlign w:val="center"/>
          </w:tcPr>
          <w:p>
            <w:pPr>
              <w:spacing w:beforeLines="50"/>
              <w:jc w:val="center"/>
              <w:rPr>
                <w:b/>
                <w:sz w:val="18"/>
                <w:szCs w:val="18"/>
              </w:rPr>
            </w:pPr>
            <w:r>
              <w:rPr>
                <w:rFonts w:hint="eastAsia"/>
                <w:b/>
                <w:sz w:val="18"/>
                <w:szCs w:val="18"/>
              </w:rPr>
              <w:t>无资格证</w:t>
            </w:r>
          </w:p>
        </w:tc>
        <w:tc>
          <w:tcPr>
            <w:tcW w:w="1120" w:type="dxa"/>
            <w:tcBorders>
              <w:tl2br w:val="nil"/>
              <w:tr2bl w:val="nil"/>
            </w:tcBorders>
            <w:vAlign w:val="center"/>
          </w:tcPr>
          <w:p>
            <w:pPr>
              <w:spacing w:beforeLines="50"/>
              <w:jc w:val="center"/>
              <w:rPr>
                <w:rFonts w:eastAsia="宋体"/>
                <w:sz w:val="18"/>
                <w:szCs w:val="18"/>
              </w:rPr>
            </w:pPr>
            <w:r>
              <w:rPr>
                <w:rFonts w:hint="eastAsia" w:eastAsia="宋体"/>
                <w:sz w:val="18"/>
                <w:szCs w:val="18"/>
              </w:rPr>
              <w:t>4000</w:t>
            </w:r>
          </w:p>
        </w:tc>
        <w:tc>
          <w:tcPr>
            <w:tcW w:w="1053" w:type="dxa"/>
            <w:tcBorders>
              <w:tl2br w:val="nil"/>
              <w:tr2bl w:val="nil"/>
            </w:tcBorders>
            <w:vAlign w:val="center"/>
          </w:tcPr>
          <w:p>
            <w:pPr>
              <w:spacing w:beforeLines="50"/>
              <w:jc w:val="center"/>
              <w:rPr>
                <w:rFonts w:eastAsia="宋体"/>
                <w:sz w:val="18"/>
                <w:szCs w:val="18"/>
              </w:rPr>
            </w:pPr>
            <w:r>
              <w:rPr>
                <w:rFonts w:hint="eastAsia" w:eastAsia="宋体"/>
                <w:sz w:val="18"/>
                <w:szCs w:val="18"/>
              </w:rPr>
              <w:t>800</w:t>
            </w:r>
          </w:p>
        </w:tc>
        <w:tc>
          <w:tcPr>
            <w:tcW w:w="1013" w:type="dxa"/>
            <w:tcBorders>
              <w:tl2br w:val="nil"/>
              <w:tr2bl w:val="nil"/>
            </w:tcBorders>
            <w:vAlign w:val="center"/>
          </w:tcPr>
          <w:p>
            <w:pPr>
              <w:spacing w:beforeLines="50"/>
              <w:jc w:val="center"/>
              <w:rPr>
                <w:rFonts w:eastAsia="宋体"/>
                <w:sz w:val="18"/>
                <w:szCs w:val="18"/>
              </w:rPr>
            </w:pPr>
            <w:r>
              <w:rPr>
                <w:rFonts w:hint="eastAsia"/>
                <w:sz w:val="18"/>
                <w:szCs w:val="18"/>
              </w:rPr>
              <w:t>500</w:t>
            </w:r>
          </w:p>
        </w:tc>
        <w:tc>
          <w:tcPr>
            <w:tcW w:w="1200" w:type="dxa"/>
            <w:tcBorders>
              <w:tl2br w:val="nil"/>
              <w:tr2bl w:val="nil"/>
            </w:tcBorders>
            <w:vAlign w:val="center"/>
          </w:tcPr>
          <w:p>
            <w:pPr>
              <w:spacing w:beforeLines="50"/>
              <w:jc w:val="center"/>
              <w:rPr>
                <w:rFonts w:eastAsia="宋体"/>
                <w:sz w:val="18"/>
                <w:szCs w:val="18"/>
              </w:rPr>
            </w:pPr>
            <w:r>
              <w:rPr>
                <w:rFonts w:hint="eastAsia"/>
                <w:sz w:val="18"/>
                <w:szCs w:val="18"/>
              </w:rPr>
              <w:t>0-6000</w:t>
            </w:r>
          </w:p>
        </w:tc>
        <w:tc>
          <w:tcPr>
            <w:tcW w:w="1427" w:type="dxa"/>
            <w:tcBorders>
              <w:tl2br w:val="nil"/>
              <w:tr2bl w:val="nil"/>
            </w:tcBorders>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63600-69600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113" w:hRule="atLeast"/>
          <w:tblCellSpacing w:w="0" w:type="dxa"/>
        </w:trPr>
        <w:tc>
          <w:tcPr>
            <w:tcW w:w="328" w:type="dxa"/>
            <w:vMerge w:val="continue"/>
            <w:tcBorders>
              <w:tl2br w:val="nil"/>
              <w:tr2bl w:val="nil"/>
            </w:tcBorders>
            <w:vAlign w:val="center"/>
          </w:tcPr>
          <w:p>
            <w:pPr>
              <w:spacing w:beforeLines="50"/>
              <w:jc w:val="center"/>
              <w:rPr>
                <w:b/>
                <w:sz w:val="18"/>
                <w:szCs w:val="18"/>
              </w:rPr>
            </w:pPr>
          </w:p>
        </w:tc>
        <w:tc>
          <w:tcPr>
            <w:tcW w:w="1984" w:type="dxa"/>
            <w:tcBorders>
              <w:tl2br w:val="nil"/>
              <w:tr2bl w:val="nil"/>
            </w:tcBorders>
            <w:vAlign w:val="center"/>
          </w:tcPr>
          <w:p>
            <w:pPr>
              <w:spacing w:beforeLines="50"/>
              <w:jc w:val="center"/>
              <w:rPr>
                <w:b/>
                <w:sz w:val="18"/>
                <w:szCs w:val="18"/>
              </w:rPr>
            </w:pPr>
            <w:r>
              <w:rPr>
                <w:rFonts w:hint="eastAsia"/>
                <w:b/>
                <w:sz w:val="18"/>
                <w:szCs w:val="18"/>
              </w:rPr>
              <w:t>有资格证或研究生学历</w:t>
            </w:r>
          </w:p>
        </w:tc>
        <w:tc>
          <w:tcPr>
            <w:tcW w:w="1120" w:type="dxa"/>
            <w:tcBorders>
              <w:tl2br w:val="nil"/>
              <w:tr2bl w:val="nil"/>
            </w:tcBorders>
            <w:vAlign w:val="center"/>
          </w:tcPr>
          <w:p>
            <w:pPr>
              <w:spacing w:beforeLines="50"/>
              <w:jc w:val="center"/>
              <w:rPr>
                <w:rFonts w:eastAsia="宋体"/>
                <w:sz w:val="18"/>
                <w:szCs w:val="18"/>
              </w:rPr>
            </w:pPr>
            <w:r>
              <w:rPr>
                <w:rFonts w:hint="eastAsia" w:eastAsia="宋体"/>
                <w:sz w:val="18"/>
                <w:szCs w:val="18"/>
              </w:rPr>
              <w:t>4500</w:t>
            </w:r>
          </w:p>
        </w:tc>
        <w:tc>
          <w:tcPr>
            <w:tcW w:w="1053" w:type="dxa"/>
            <w:tcBorders>
              <w:tl2br w:val="nil"/>
              <w:tr2bl w:val="nil"/>
            </w:tcBorders>
            <w:vAlign w:val="center"/>
          </w:tcPr>
          <w:p>
            <w:pPr>
              <w:spacing w:beforeLines="50"/>
              <w:jc w:val="center"/>
              <w:rPr>
                <w:rFonts w:eastAsia="宋体"/>
                <w:sz w:val="18"/>
                <w:szCs w:val="18"/>
              </w:rPr>
            </w:pPr>
            <w:r>
              <w:rPr>
                <w:rFonts w:hint="eastAsia" w:eastAsia="宋体"/>
                <w:sz w:val="18"/>
                <w:szCs w:val="18"/>
              </w:rPr>
              <w:t>1000</w:t>
            </w:r>
          </w:p>
        </w:tc>
        <w:tc>
          <w:tcPr>
            <w:tcW w:w="1013" w:type="dxa"/>
            <w:tcBorders>
              <w:tl2br w:val="nil"/>
              <w:tr2bl w:val="nil"/>
            </w:tcBorders>
            <w:vAlign w:val="center"/>
          </w:tcPr>
          <w:p>
            <w:pPr>
              <w:spacing w:beforeLines="50"/>
              <w:jc w:val="center"/>
              <w:rPr>
                <w:rFonts w:eastAsia="宋体"/>
                <w:sz w:val="18"/>
                <w:szCs w:val="18"/>
              </w:rPr>
            </w:pPr>
            <w:r>
              <w:rPr>
                <w:rFonts w:hint="eastAsia"/>
                <w:sz w:val="18"/>
                <w:szCs w:val="18"/>
              </w:rPr>
              <w:t>500</w:t>
            </w:r>
          </w:p>
        </w:tc>
        <w:tc>
          <w:tcPr>
            <w:tcW w:w="1200" w:type="dxa"/>
            <w:tcBorders>
              <w:tl2br w:val="nil"/>
              <w:tr2bl w:val="nil"/>
            </w:tcBorders>
            <w:vAlign w:val="center"/>
          </w:tcPr>
          <w:p>
            <w:pPr>
              <w:spacing w:beforeLines="50"/>
              <w:jc w:val="center"/>
              <w:rPr>
                <w:rFonts w:eastAsia="宋体"/>
                <w:sz w:val="18"/>
                <w:szCs w:val="18"/>
              </w:rPr>
            </w:pPr>
            <w:r>
              <w:rPr>
                <w:rFonts w:hint="eastAsia"/>
                <w:sz w:val="18"/>
                <w:szCs w:val="18"/>
              </w:rPr>
              <w:t>0-6000</w:t>
            </w:r>
          </w:p>
        </w:tc>
        <w:tc>
          <w:tcPr>
            <w:tcW w:w="1427" w:type="dxa"/>
            <w:tcBorders>
              <w:tl2br w:val="nil"/>
              <w:tr2bl w:val="nil"/>
            </w:tcBorders>
            <w:vAlign w:val="center"/>
          </w:tcPr>
          <w:p>
            <w:pPr>
              <w:jc w:val="center"/>
              <w:rPr>
                <w:rFonts w:ascii="宋体" w:hAnsi="宋体" w:eastAsia="宋体" w:cs="宋体"/>
                <w:color w:val="000000"/>
                <w:sz w:val="18"/>
                <w:szCs w:val="18"/>
              </w:rPr>
            </w:pPr>
            <w:r>
              <w:rPr>
                <w:rFonts w:hint="eastAsia" w:ascii="宋体" w:hAnsi="宋体" w:eastAsia="宋体" w:cs="宋体"/>
                <w:color w:val="000000"/>
                <w:sz w:val="18"/>
                <w:szCs w:val="18"/>
              </w:rPr>
              <w:t>72000-78000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9" w:hRule="atLeast"/>
          <w:tblCellSpacing w:w="0" w:type="dxa"/>
        </w:trPr>
        <w:tc>
          <w:tcPr>
            <w:tcW w:w="328" w:type="dxa"/>
            <w:vMerge w:val="restart"/>
            <w:tcBorders>
              <w:tl2br w:val="nil"/>
              <w:tr2bl w:val="nil"/>
            </w:tcBorders>
            <w:vAlign w:val="center"/>
          </w:tcPr>
          <w:p>
            <w:pPr>
              <w:spacing w:beforeLines="50"/>
              <w:jc w:val="center"/>
              <w:rPr>
                <w:b/>
                <w:sz w:val="18"/>
                <w:szCs w:val="18"/>
              </w:rPr>
            </w:pPr>
            <w:r>
              <w:rPr>
                <w:rFonts w:hint="eastAsia"/>
                <w:b/>
                <w:sz w:val="18"/>
                <w:szCs w:val="18"/>
              </w:rPr>
              <w:t>第二年</w:t>
            </w:r>
          </w:p>
        </w:tc>
        <w:tc>
          <w:tcPr>
            <w:tcW w:w="1984" w:type="dxa"/>
            <w:tcBorders>
              <w:tl2br w:val="nil"/>
              <w:tr2bl w:val="nil"/>
            </w:tcBorders>
            <w:vAlign w:val="center"/>
          </w:tcPr>
          <w:p>
            <w:pPr>
              <w:spacing w:beforeLines="50"/>
              <w:jc w:val="center"/>
              <w:rPr>
                <w:b/>
                <w:sz w:val="18"/>
                <w:szCs w:val="18"/>
              </w:rPr>
            </w:pPr>
            <w:r>
              <w:rPr>
                <w:rFonts w:hint="eastAsia"/>
                <w:b/>
                <w:sz w:val="18"/>
                <w:szCs w:val="18"/>
              </w:rPr>
              <w:t>无资格证</w:t>
            </w:r>
          </w:p>
        </w:tc>
        <w:tc>
          <w:tcPr>
            <w:tcW w:w="1120" w:type="dxa"/>
            <w:tcBorders>
              <w:tl2br w:val="nil"/>
              <w:tr2bl w:val="nil"/>
            </w:tcBorders>
            <w:shd w:val="clear" w:color="auto" w:fill="auto"/>
            <w:vAlign w:val="center"/>
          </w:tcPr>
          <w:p>
            <w:pPr>
              <w:spacing w:beforeLines="50"/>
              <w:jc w:val="center"/>
              <w:rPr>
                <w:sz w:val="18"/>
                <w:szCs w:val="18"/>
              </w:rPr>
            </w:pPr>
            <w:r>
              <w:rPr>
                <w:rFonts w:hint="eastAsia"/>
                <w:sz w:val="18"/>
                <w:szCs w:val="18"/>
              </w:rPr>
              <w:t>45</w:t>
            </w:r>
            <w:r>
              <w:rPr>
                <w:sz w:val="18"/>
                <w:szCs w:val="18"/>
              </w:rPr>
              <w:t>00</w:t>
            </w:r>
          </w:p>
        </w:tc>
        <w:tc>
          <w:tcPr>
            <w:tcW w:w="1053" w:type="dxa"/>
            <w:tcBorders>
              <w:tl2br w:val="nil"/>
              <w:tr2bl w:val="nil"/>
            </w:tcBorders>
            <w:shd w:val="clear" w:color="auto" w:fill="auto"/>
            <w:vAlign w:val="center"/>
          </w:tcPr>
          <w:p>
            <w:pPr>
              <w:spacing w:beforeLines="50"/>
              <w:jc w:val="center"/>
              <w:rPr>
                <w:sz w:val="18"/>
                <w:szCs w:val="18"/>
              </w:rPr>
            </w:pPr>
            <w:r>
              <w:rPr>
                <w:rFonts w:hint="eastAsia"/>
                <w:sz w:val="18"/>
                <w:szCs w:val="18"/>
              </w:rPr>
              <w:t>800</w:t>
            </w:r>
          </w:p>
        </w:tc>
        <w:tc>
          <w:tcPr>
            <w:tcW w:w="1013" w:type="dxa"/>
            <w:tcBorders>
              <w:tl2br w:val="nil"/>
              <w:tr2bl w:val="nil"/>
            </w:tcBorders>
            <w:shd w:val="clear" w:color="auto" w:fill="auto"/>
            <w:vAlign w:val="center"/>
          </w:tcPr>
          <w:p>
            <w:pPr>
              <w:spacing w:beforeLines="50"/>
              <w:jc w:val="center"/>
              <w:rPr>
                <w:rFonts w:eastAsia="宋体"/>
                <w:sz w:val="18"/>
                <w:szCs w:val="18"/>
              </w:rPr>
            </w:pPr>
            <w:r>
              <w:rPr>
                <w:rFonts w:hint="eastAsia"/>
                <w:sz w:val="18"/>
                <w:szCs w:val="18"/>
              </w:rPr>
              <w:t>500</w:t>
            </w:r>
          </w:p>
        </w:tc>
        <w:tc>
          <w:tcPr>
            <w:tcW w:w="1200" w:type="dxa"/>
            <w:tcBorders>
              <w:tl2br w:val="nil"/>
              <w:tr2bl w:val="nil"/>
            </w:tcBorders>
            <w:shd w:val="clear" w:color="auto" w:fill="auto"/>
            <w:vAlign w:val="center"/>
          </w:tcPr>
          <w:p>
            <w:pPr>
              <w:spacing w:beforeLines="50"/>
              <w:jc w:val="center"/>
              <w:rPr>
                <w:sz w:val="18"/>
                <w:szCs w:val="18"/>
              </w:rPr>
            </w:pPr>
            <w:r>
              <w:rPr>
                <w:rFonts w:hint="eastAsia"/>
                <w:sz w:val="18"/>
                <w:szCs w:val="18"/>
              </w:rPr>
              <w:t>0-6000</w:t>
            </w:r>
          </w:p>
        </w:tc>
        <w:tc>
          <w:tcPr>
            <w:tcW w:w="1427" w:type="dxa"/>
            <w:tcBorders>
              <w:tl2br w:val="nil"/>
              <w:tr2bl w:val="nil"/>
            </w:tcBorders>
            <w:shd w:val="clear" w:color="auto" w:fill="auto"/>
            <w:vAlign w:val="center"/>
          </w:tcPr>
          <w:p>
            <w:pPr>
              <w:jc w:val="center"/>
              <w:rPr>
                <w:rFonts w:ascii="宋体" w:hAnsi="宋体" w:eastAsia="宋体" w:cs="宋体"/>
                <w:color w:val="000000"/>
                <w:sz w:val="18"/>
                <w:szCs w:val="18"/>
              </w:rPr>
            </w:pPr>
            <w:r>
              <w:rPr>
                <w:rFonts w:hint="eastAsia" w:ascii="宋体" w:hAnsi="宋体" w:cs="宋体"/>
                <w:color w:val="000000"/>
                <w:sz w:val="18"/>
                <w:szCs w:val="18"/>
              </w:rPr>
              <w:t>69600-75600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tblCellSpacing w:w="0" w:type="dxa"/>
        </w:trPr>
        <w:tc>
          <w:tcPr>
            <w:tcW w:w="328" w:type="dxa"/>
            <w:vMerge w:val="continue"/>
            <w:tcBorders>
              <w:tl2br w:val="nil"/>
              <w:tr2bl w:val="nil"/>
            </w:tcBorders>
            <w:vAlign w:val="center"/>
          </w:tcPr>
          <w:p>
            <w:pPr>
              <w:spacing w:beforeLines="50"/>
              <w:jc w:val="center"/>
              <w:rPr>
                <w:b/>
                <w:sz w:val="18"/>
                <w:szCs w:val="18"/>
              </w:rPr>
            </w:pPr>
          </w:p>
        </w:tc>
        <w:tc>
          <w:tcPr>
            <w:tcW w:w="1984" w:type="dxa"/>
            <w:tcBorders>
              <w:tl2br w:val="nil"/>
              <w:tr2bl w:val="nil"/>
            </w:tcBorders>
            <w:vAlign w:val="center"/>
          </w:tcPr>
          <w:p>
            <w:pPr>
              <w:spacing w:beforeLines="50"/>
              <w:jc w:val="center"/>
              <w:rPr>
                <w:b/>
                <w:sz w:val="18"/>
                <w:szCs w:val="18"/>
              </w:rPr>
            </w:pPr>
            <w:r>
              <w:rPr>
                <w:rFonts w:hint="eastAsia"/>
                <w:b/>
                <w:sz w:val="18"/>
                <w:szCs w:val="18"/>
              </w:rPr>
              <w:t>有资格证或研究生学历</w:t>
            </w:r>
          </w:p>
        </w:tc>
        <w:tc>
          <w:tcPr>
            <w:tcW w:w="1120" w:type="dxa"/>
            <w:tcBorders>
              <w:tl2br w:val="nil"/>
              <w:tr2bl w:val="nil"/>
            </w:tcBorders>
            <w:shd w:val="clear" w:color="auto" w:fill="auto"/>
            <w:vAlign w:val="center"/>
          </w:tcPr>
          <w:p>
            <w:pPr>
              <w:spacing w:beforeLines="50"/>
              <w:jc w:val="center"/>
              <w:rPr>
                <w:sz w:val="18"/>
                <w:szCs w:val="18"/>
              </w:rPr>
            </w:pPr>
            <w:r>
              <w:rPr>
                <w:rFonts w:hint="eastAsia"/>
                <w:sz w:val="18"/>
                <w:szCs w:val="18"/>
              </w:rPr>
              <w:t>5000</w:t>
            </w:r>
          </w:p>
        </w:tc>
        <w:tc>
          <w:tcPr>
            <w:tcW w:w="1053" w:type="dxa"/>
            <w:tcBorders>
              <w:tl2br w:val="nil"/>
              <w:tr2bl w:val="nil"/>
            </w:tcBorders>
            <w:shd w:val="clear" w:color="auto" w:fill="auto"/>
            <w:vAlign w:val="center"/>
          </w:tcPr>
          <w:p>
            <w:pPr>
              <w:spacing w:beforeLines="50"/>
              <w:jc w:val="center"/>
              <w:rPr>
                <w:sz w:val="18"/>
                <w:szCs w:val="18"/>
              </w:rPr>
            </w:pPr>
            <w:r>
              <w:rPr>
                <w:rFonts w:hint="eastAsia"/>
                <w:sz w:val="18"/>
                <w:szCs w:val="18"/>
              </w:rPr>
              <w:t>1000</w:t>
            </w:r>
          </w:p>
        </w:tc>
        <w:tc>
          <w:tcPr>
            <w:tcW w:w="1013" w:type="dxa"/>
            <w:tcBorders>
              <w:tl2br w:val="nil"/>
              <w:tr2bl w:val="nil"/>
            </w:tcBorders>
            <w:shd w:val="clear" w:color="auto" w:fill="auto"/>
            <w:vAlign w:val="center"/>
          </w:tcPr>
          <w:p>
            <w:pPr>
              <w:spacing w:beforeLines="50"/>
              <w:jc w:val="center"/>
              <w:rPr>
                <w:rFonts w:eastAsia="宋体"/>
                <w:sz w:val="18"/>
                <w:szCs w:val="18"/>
              </w:rPr>
            </w:pPr>
            <w:r>
              <w:rPr>
                <w:rFonts w:hint="eastAsia"/>
                <w:sz w:val="18"/>
                <w:szCs w:val="18"/>
              </w:rPr>
              <w:t>500</w:t>
            </w:r>
          </w:p>
        </w:tc>
        <w:tc>
          <w:tcPr>
            <w:tcW w:w="1200" w:type="dxa"/>
            <w:tcBorders>
              <w:tl2br w:val="nil"/>
              <w:tr2bl w:val="nil"/>
            </w:tcBorders>
            <w:shd w:val="clear" w:color="auto" w:fill="auto"/>
            <w:vAlign w:val="center"/>
          </w:tcPr>
          <w:p>
            <w:pPr>
              <w:spacing w:beforeLines="50"/>
              <w:jc w:val="center"/>
              <w:rPr>
                <w:sz w:val="18"/>
                <w:szCs w:val="18"/>
              </w:rPr>
            </w:pPr>
            <w:r>
              <w:rPr>
                <w:rFonts w:hint="eastAsia"/>
                <w:sz w:val="18"/>
                <w:szCs w:val="18"/>
              </w:rPr>
              <w:t>0-6000</w:t>
            </w:r>
          </w:p>
        </w:tc>
        <w:tc>
          <w:tcPr>
            <w:tcW w:w="1427" w:type="dxa"/>
            <w:tcBorders>
              <w:tl2br w:val="nil"/>
              <w:tr2bl w:val="nil"/>
            </w:tcBorders>
            <w:shd w:val="clear" w:color="auto" w:fill="auto"/>
            <w:vAlign w:val="center"/>
          </w:tcPr>
          <w:p>
            <w:pPr>
              <w:jc w:val="center"/>
              <w:rPr>
                <w:rFonts w:ascii="宋体" w:hAnsi="宋体" w:eastAsia="宋体" w:cs="宋体"/>
                <w:color w:val="000000"/>
                <w:sz w:val="18"/>
                <w:szCs w:val="18"/>
              </w:rPr>
            </w:pPr>
            <w:r>
              <w:rPr>
                <w:rFonts w:hint="eastAsia" w:ascii="宋体" w:hAnsi="宋体" w:cs="宋体"/>
                <w:color w:val="000000"/>
                <w:sz w:val="18"/>
                <w:szCs w:val="18"/>
              </w:rPr>
              <w:t>78000-84000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88" w:hRule="atLeast"/>
          <w:tblCellSpacing w:w="0" w:type="dxa"/>
        </w:trPr>
        <w:tc>
          <w:tcPr>
            <w:tcW w:w="328" w:type="dxa"/>
            <w:vMerge w:val="restart"/>
            <w:tcBorders>
              <w:tl2br w:val="nil"/>
              <w:tr2bl w:val="nil"/>
            </w:tcBorders>
            <w:vAlign w:val="center"/>
          </w:tcPr>
          <w:p>
            <w:pPr>
              <w:spacing w:beforeLines="50"/>
              <w:jc w:val="center"/>
              <w:rPr>
                <w:b/>
                <w:sz w:val="18"/>
                <w:szCs w:val="18"/>
              </w:rPr>
            </w:pPr>
            <w:r>
              <w:rPr>
                <w:rFonts w:hint="eastAsia"/>
                <w:b/>
                <w:sz w:val="18"/>
                <w:szCs w:val="18"/>
              </w:rPr>
              <w:t>第</w:t>
            </w:r>
          </w:p>
          <w:p>
            <w:pPr>
              <w:spacing w:beforeLines="50"/>
              <w:jc w:val="center"/>
              <w:rPr>
                <w:b/>
                <w:sz w:val="18"/>
                <w:szCs w:val="18"/>
              </w:rPr>
            </w:pPr>
            <w:r>
              <w:rPr>
                <w:rFonts w:hint="eastAsia"/>
                <w:b/>
                <w:sz w:val="18"/>
                <w:szCs w:val="18"/>
              </w:rPr>
              <w:t>三</w:t>
            </w:r>
          </w:p>
          <w:p>
            <w:pPr>
              <w:spacing w:beforeLines="50"/>
              <w:jc w:val="center"/>
              <w:rPr>
                <w:b/>
                <w:sz w:val="18"/>
                <w:szCs w:val="18"/>
              </w:rPr>
            </w:pPr>
            <w:r>
              <w:rPr>
                <w:rFonts w:hint="eastAsia"/>
                <w:b/>
                <w:sz w:val="18"/>
                <w:szCs w:val="18"/>
              </w:rPr>
              <w:t>年</w:t>
            </w:r>
          </w:p>
        </w:tc>
        <w:tc>
          <w:tcPr>
            <w:tcW w:w="1984" w:type="dxa"/>
            <w:tcBorders>
              <w:tl2br w:val="nil"/>
              <w:tr2bl w:val="nil"/>
            </w:tcBorders>
            <w:vAlign w:val="center"/>
          </w:tcPr>
          <w:p>
            <w:pPr>
              <w:spacing w:beforeLines="50"/>
              <w:jc w:val="center"/>
              <w:rPr>
                <w:b/>
                <w:sz w:val="18"/>
                <w:szCs w:val="18"/>
              </w:rPr>
            </w:pPr>
            <w:r>
              <w:rPr>
                <w:rFonts w:hint="eastAsia"/>
                <w:b/>
                <w:sz w:val="18"/>
                <w:szCs w:val="18"/>
              </w:rPr>
              <w:t>未取得资格证</w:t>
            </w:r>
          </w:p>
        </w:tc>
        <w:tc>
          <w:tcPr>
            <w:tcW w:w="1120" w:type="dxa"/>
            <w:tcBorders>
              <w:tl2br w:val="nil"/>
              <w:tr2bl w:val="nil"/>
            </w:tcBorders>
            <w:shd w:val="clear" w:color="auto" w:fill="auto"/>
            <w:vAlign w:val="center"/>
          </w:tcPr>
          <w:p>
            <w:pPr>
              <w:spacing w:beforeLines="50"/>
              <w:jc w:val="center"/>
              <w:rPr>
                <w:sz w:val="18"/>
                <w:szCs w:val="18"/>
              </w:rPr>
            </w:pPr>
            <w:r>
              <w:rPr>
                <w:rFonts w:hint="eastAsia"/>
                <w:sz w:val="18"/>
                <w:szCs w:val="18"/>
              </w:rPr>
              <w:t>50</w:t>
            </w:r>
            <w:r>
              <w:rPr>
                <w:sz w:val="18"/>
                <w:szCs w:val="18"/>
              </w:rPr>
              <w:t>00</w:t>
            </w:r>
          </w:p>
        </w:tc>
        <w:tc>
          <w:tcPr>
            <w:tcW w:w="1053" w:type="dxa"/>
            <w:tcBorders>
              <w:tl2br w:val="nil"/>
              <w:tr2bl w:val="nil"/>
            </w:tcBorders>
            <w:shd w:val="clear" w:color="auto" w:fill="auto"/>
            <w:vAlign w:val="center"/>
          </w:tcPr>
          <w:p>
            <w:pPr>
              <w:spacing w:beforeLines="50"/>
              <w:jc w:val="center"/>
              <w:rPr>
                <w:sz w:val="18"/>
                <w:szCs w:val="18"/>
              </w:rPr>
            </w:pPr>
            <w:r>
              <w:rPr>
                <w:rFonts w:hint="eastAsia"/>
                <w:sz w:val="18"/>
                <w:szCs w:val="18"/>
              </w:rPr>
              <w:t>800</w:t>
            </w:r>
          </w:p>
        </w:tc>
        <w:tc>
          <w:tcPr>
            <w:tcW w:w="1013" w:type="dxa"/>
            <w:tcBorders>
              <w:tl2br w:val="nil"/>
              <w:tr2bl w:val="nil"/>
            </w:tcBorders>
            <w:shd w:val="clear" w:color="auto" w:fill="auto"/>
            <w:vAlign w:val="center"/>
          </w:tcPr>
          <w:p>
            <w:pPr>
              <w:spacing w:beforeLines="50"/>
              <w:jc w:val="center"/>
              <w:rPr>
                <w:sz w:val="18"/>
                <w:szCs w:val="18"/>
              </w:rPr>
            </w:pPr>
            <w:r>
              <w:rPr>
                <w:rFonts w:hint="eastAsia"/>
                <w:sz w:val="18"/>
                <w:szCs w:val="18"/>
              </w:rPr>
              <w:t>500</w:t>
            </w:r>
          </w:p>
        </w:tc>
        <w:tc>
          <w:tcPr>
            <w:tcW w:w="1200" w:type="dxa"/>
            <w:tcBorders>
              <w:tl2br w:val="nil"/>
              <w:tr2bl w:val="nil"/>
            </w:tcBorders>
            <w:shd w:val="clear" w:color="auto" w:fill="auto"/>
            <w:vAlign w:val="center"/>
          </w:tcPr>
          <w:p>
            <w:pPr>
              <w:spacing w:beforeLines="50"/>
              <w:jc w:val="center"/>
              <w:rPr>
                <w:sz w:val="18"/>
                <w:szCs w:val="18"/>
              </w:rPr>
            </w:pPr>
            <w:r>
              <w:rPr>
                <w:rFonts w:hint="eastAsia"/>
                <w:sz w:val="18"/>
                <w:szCs w:val="18"/>
              </w:rPr>
              <w:t>0-6000</w:t>
            </w:r>
          </w:p>
        </w:tc>
        <w:tc>
          <w:tcPr>
            <w:tcW w:w="1427" w:type="dxa"/>
            <w:tcBorders>
              <w:tl2br w:val="nil"/>
              <w:tr2bl w:val="nil"/>
            </w:tcBorders>
            <w:shd w:val="clear" w:color="auto" w:fill="auto"/>
            <w:vAlign w:val="center"/>
          </w:tcPr>
          <w:p>
            <w:pPr>
              <w:jc w:val="center"/>
              <w:rPr>
                <w:rFonts w:ascii="宋体" w:hAnsi="宋体" w:eastAsia="宋体" w:cs="宋体"/>
                <w:color w:val="000000"/>
                <w:sz w:val="18"/>
                <w:szCs w:val="18"/>
              </w:rPr>
            </w:pPr>
            <w:r>
              <w:rPr>
                <w:rFonts w:hint="eastAsia" w:ascii="宋体" w:hAnsi="宋体" w:cs="宋体"/>
                <w:color w:val="000000"/>
                <w:sz w:val="18"/>
                <w:szCs w:val="18"/>
              </w:rPr>
              <w:t>75600-81600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33" w:hRule="atLeast"/>
          <w:tblCellSpacing w:w="0" w:type="dxa"/>
        </w:trPr>
        <w:tc>
          <w:tcPr>
            <w:tcW w:w="328" w:type="dxa"/>
            <w:vMerge w:val="continue"/>
            <w:tcBorders>
              <w:tl2br w:val="nil"/>
              <w:tr2bl w:val="nil"/>
            </w:tcBorders>
            <w:vAlign w:val="center"/>
          </w:tcPr>
          <w:p>
            <w:pPr>
              <w:spacing w:beforeLines="50"/>
              <w:jc w:val="center"/>
              <w:rPr>
                <w:b/>
                <w:sz w:val="18"/>
                <w:szCs w:val="18"/>
              </w:rPr>
            </w:pPr>
          </w:p>
        </w:tc>
        <w:tc>
          <w:tcPr>
            <w:tcW w:w="1984" w:type="dxa"/>
            <w:tcBorders>
              <w:tl2br w:val="nil"/>
              <w:tr2bl w:val="nil"/>
            </w:tcBorders>
            <w:vAlign w:val="center"/>
          </w:tcPr>
          <w:p>
            <w:pPr>
              <w:spacing w:beforeLines="50"/>
              <w:jc w:val="center"/>
              <w:rPr>
                <w:b/>
                <w:sz w:val="18"/>
                <w:szCs w:val="18"/>
              </w:rPr>
            </w:pPr>
            <w:r>
              <w:rPr>
                <w:rFonts w:hint="eastAsia"/>
                <w:b/>
                <w:sz w:val="18"/>
                <w:szCs w:val="18"/>
              </w:rPr>
              <w:t>取得资格证者</w:t>
            </w:r>
          </w:p>
        </w:tc>
        <w:tc>
          <w:tcPr>
            <w:tcW w:w="1120" w:type="dxa"/>
            <w:tcBorders>
              <w:tl2br w:val="nil"/>
              <w:tr2bl w:val="nil"/>
            </w:tcBorders>
            <w:shd w:val="clear" w:color="auto" w:fill="auto"/>
            <w:vAlign w:val="center"/>
          </w:tcPr>
          <w:p>
            <w:pPr>
              <w:spacing w:beforeLines="50"/>
              <w:jc w:val="center"/>
              <w:rPr>
                <w:sz w:val="18"/>
                <w:szCs w:val="18"/>
              </w:rPr>
            </w:pPr>
            <w:r>
              <w:rPr>
                <w:rFonts w:hint="eastAsia"/>
                <w:sz w:val="18"/>
                <w:szCs w:val="18"/>
              </w:rPr>
              <w:t>55</w:t>
            </w:r>
            <w:r>
              <w:rPr>
                <w:sz w:val="18"/>
                <w:szCs w:val="18"/>
              </w:rPr>
              <w:t>00</w:t>
            </w:r>
          </w:p>
        </w:tc>
        <w:tc>
          <w:tcPr>
            <w:tcW w:w="1053" w:type="dxa"/>
            <w:tcBorders>
              <w:tl2br w:val="nil"/>
              <w:tr2bl w:val="nil"/>
            </w:tcBorders>
            <w:shd w:val="clear" w:color="auto" w:fill="auto"/>
            <w:vAlign w:val="center"/>
          </w:tcPr>
          <w:p>
            <w:pPr>
              <w:spacing w:beforeLines="50"/>
              <w:jc w:val="center"/>
              <w:rPr>
                <w:sz w:val="18"/>
                <w:szCs w:val="18"/>
              </w:rPr>
            </w:pPr>
            <w:r>
              <w:rPr>
                <w:sz w:val="18"/>
                <w:szCs w:val="18"/>
              </w:rPr>
              <w:t>1000</w:t>
            </w:r>
          </w:p>
        </w:tc>
        <w:tc>
          <w:tcPr>
            <w:tcW w:w="1013" w:type="dxa"/>
            <w:tcBorders>
              <w:tl2br w:val="nil"/>
              <w:tr2bl w:val="nil"/>
            </w:tcBorders>
            <w:shd w:val="clear" w:color="auto" w:fill="auto"/>
            <w:vAlign w:val="center"/>
          </w:tcPr>
          <w:p>
            <w:pPr>
              <w:spacing w:beforeLines="50"/>
              <w:jc w:val="center"/>
              <w:rPr>
                <w:sz w:val="18"/>
                <w:szCs w:val="18"/>
              </w:rPr>
            </w:pPr>
            <w:r>
              <w:rPr>
                <w:rFonts w:hint="eastAsia"/>
                <w:sz w:val="18"/>
                <w:szCs w:val="18"/>
              </w:rPr>
              <w:t>500</w:t>
            </w:r>
          </w:p>
        </w:tc>
        <w:tc>
          <w:tcPr>
            <w:tcW w:w="1200" w:type="dxa"/>
            <w:tcBorders>
              <w:tl2br w:val="nil"/>
              <w:tr2bl w:val="nil"/>
            </w:tcBorders>
            <w:shd w:val="clear" w:color="auto" w:fill="auto"/>
            <w:vAlign w:val="center"/>
          </w:tcPr>
          <w:p>
            <w:pPr>
              <w:spacing w:beforeLines="50"/>
              <w:jc w:val="center"/>
              <w:rPr>
                <w:sz w:val="18"/>
                <w:szCs w:val="18"/>
              </w:rPr>
            </w:pPr>
            <w:r>
              <w:rPr>
                <w:rFonts w:hint="eastAsia"/>
                <w:sz w:val="18"/>
                <w:szCs w:val="18"/>
              </w:rPr>
              <w:t>0-6000</w:t>
            </w:r>
          </w:p>
        </w:tc>
        <w:tc>
          <w:tcPr>
            <w:tcW w:w="1427" w:type="dxa"/>
            <w:tcBorders>
              <w:tl2br w:val="nil"/>
              <w:tr2bl w:val="nil"/>
            </w:tcBorders>
            <w:shd w:val="clear" w:color="auto" w:fill="auto"/>
            <w:vAlign w:val="center"/>
          </w:tcPr>
          <w:p>
            <w:pPr>
              <w:jc w:val="center"/>
              <w:rPr>
                <w:rFonts w:ascii="宋体" w:hAnsi="宋体" w:eastAsia="宋体" w:cs="宋体"/>
                <w:color w:val="000000"/>
                <w:sz w:val="18"/>
                <w:szCs w:val="18"/>
              </w:rPr>
            </w:pPr>
            <w:r>
              <w:rPr>
                <w:rFonts w:hint="eastAsia" w:ascii="宋体" w:hAnsi="宋体" w:cs="宋体"/>
                <w:color w:val="000000"/>
                <w:sz w:val="18"/>
                <w:szCs w:val="18"/>
              </w:rPr>
              <w:t>84000-90000</w:t>
            </w:r>
          </w:p>
        </w:tc>
      </w:tr>
    </w:tbl>
    <w:p>
      <w:pPr>
        <w:widowControl/>
        <w:spacing w:line="385" w:lineRule="atLeast"/>
        <w:ind w:firstLine="280"/>
        <w:rPr>
          <w:rFonts w:ascii="仿宋_GB2312" w:hAnsi="Arial" w:eastAsia="仿宋_GB2312" w:cs="Arial"/>
          <w:kern w:val="0"/>
          <w:sz w:val="32"/>
          <w:szCs w:val="32"/>
        </w:rPr>
      </w:pPr>
      <w:bookmarkStart w:id="0" w:name="_GoBack"/>
      <w:bookmarkEnd w:id="0"/>
    </w:p>
    <w:p>
      <w:pPr>
        <w:widowControl/>
        <w:numPr>
          <w:ilvl w:val="0"/>
          <w:numId w:val="1"/>
        </w:numPr>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享受我院同级别医师相同标准的加班绩效、夜班绩效及工会待遇</w:t>
      </w:r>
      <w:r>
        <w:rPr>
          <w:rFonts w:hint="eastAsia" w:ascii="仿宋_GB2312" w:hAnsi="Arial" w:eastAsia="仿宋_GB2312" w:cs="Arial"/>
          <w:kern w:val="0"/>
          <w:sz w:val="32"/>
          <w:szCs w:val="32"/>
          <w:lang w:eastAsia="zh-CN"/>
        </w:rPr>
        <w:t>，可参与图书馆勤工俭学岗位</w:t>
      </w:r>
      <w:r>
        <w:rPr>
          <w:rFonts w:hint="eastAsia" w:ascii="仿宋_GB2312" w:hAnsi="Arial" w:eastAsia="仿宋_GB2312" w:cs="Arial"/>
          <w:kern w:val="0"/>
          <w:sz w:val="32"/>
          <w:szCs w:val="32"/>
        </w:rPr>
        <w:t>。</w:t>
      </w:r>
    </w:p>
    <w:p>
      <w:pPr>
        <w:widowControl/>
        <w:numPr>
          <w:ilvl w:val="0"/>
          <w:numId w:val="1"/>
        </w:numPr>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完成规范化培训并考核合格者，颁发《住院医师规范化培训合格证书》。</w:t>
      </w:r>
    </w:p>
    <w:p>
      <w:pPr>
        <w:pStyle w:val="16"/>
        <w:ind w:firstLine="640"/>
        <w:rPr>
          <w:rFonts w:ascii="仿宋_GB2312" w:hAnsi="仿宋" w:eastAsia="仿宋_GB2312" w:cs="仿宋"/>
          <w:sz w:val="32"/>
          <w:szCs w:val="32"/>
        </w:rPr>
      </w:pPr>
      <w:r>
        <w:rPr>
          <w:rFonts w:hint="eastAsia" w:ascii="仿宋_GB2312" w:hAnsi="仿宋" w:eastAsia="仿宋_GB2312" w:cs="仿宋"/>
          <w:sz w:val="32"/>
          <w:szCs w:val="32"/>
          <w:lang w:val="en-US" w:eastAsia="zh-CN"/>
        </w:rPr>
        <w:t>7</w:t>
      </w:r>
      <w:r>
        <w:rPr>
          <w:rFonts w:hint="eastAsia" w:ascii="仿宋_GB2312" w:hAnsi="仿宋" w:eastAsia="仿宋_GB2312" w:cs="仿宋"/>
          <w:sz w:val="32"/>
          <w:szCs w:val="32"/>
        </w:rPr>
        <w:t>、社会招收学员培训结束后，可择优留院工作。</w:t>
      </w:r>
    </w:p>
    <w:p>
      <w:pPr>
        <w:widowControl/>
        <w:spacing w:line="385" w:lineRule="atLeast"/>
        <w:rPr>
          <w:rFonts w:ascii="仿宋_GB2312" w:hAnsi="Arial" w:eastAsia="仿宋_GB2312" w:cs="Arial"/>
          <w:kern w:val="0"/>
          <w:sz w:val="32"/>
          <w:szCs w:val="32"/>
        </w:rPr>
      </w:pPr>
    </w:p>
    <w:p>
      <w:pPr>
        <w:widowControl/>
        <w:spacing w:line="385" w:lineRule="atLeast"/>
        <w:ind w:firstLine="141"/>
        <w:jc w:val="left"/>
        <w:rPr>
          <w:rFonts w:ascii="黑体" w:hAnsi="黑体" w:eastAsia="黑体" w:cs="Arial"/>
          <w:b/>
          <w:kern w:val="0"/>
          <w:sz w:val="32"/>
          <w:szCs w:val="32"/>
        </w:rPr>
      </w:pPr>
      <w:r>
        <w:rPr>
          <w:rFonts w:hint="eastAsia" w:ascii="黑体" w:hAnsi="黑体" w:eastAsia="黑体" w:cs="Arial"/>
          <w:b/>
          <w:kern w:val="0"/>
          <w:sz w:val="32"/>
          <w:szCs w:val="32"/>
        </w:rPr>
        <w:t>五、招生程序</w:t>
      </w:r>
    </w:p>
    <w:p>
      <w:pPr>
        <w:widowControl/>
        <w:spacing w:line="385" w:lineRule="atLeast"/>
        <w:ind w:firstLine="281"/>
        <w:rPr>
          <w:rFonts w:ascii="仿宋_GB2312" w:hAnsi="Arial" w:eastAsia="仿宋_GB2312" w:cs="Arial"/>
          <w:kern w:val="0"/>
          <w:sz w:val="32"/>
          <w:szCs w:val="32"/>
        </w:rPr>
      </w:pPr>
      <w:r>
        <w:rPr>
          <w:rFonts w:hint="eastAsia" w:ascii="仿宋_GB2312" w:hAnsi="Arial" w:eastAsia="仿宋_GB2312" w:cs="Arial"/>
          <w:b/>
          <w:bCs/>
          <w:kern w:val="0"/>
          <w:sz w:val="32"/>
          <w:szCs w:val="32"/>
        </w:rPr>
        <w:t>（一）网上报名</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招生报名采取网络报名的方式进行。</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请于</w:t>
      </w:r>
      <w:r>
        <w:rPr>
          <w:rFonts w:hint="eastAsia" w:ascii="仿宋_GB2312" w:hAnsi="Arial" w:eastAsia="仿宋_GB2312" w:cs="Arial"/>
          <w:kern w:val="0"/>
          <w:sz w:val="32"/>
          <w:szCs w:val="32"/>
          <w:highlight w:val="yellow"/>
        </w:rPr>
        <w:t>5月2</w:t>
      </w:r>
      <w:r>
        <w:rPr>
          <w:rFonts w:hint="eastAsia" w:ascii="仿宋_GB2312" w:hAnsi="Arial" w:eastAsia="仿宋_GB2312" w:cs="Arial"/>
          <w:kern w:val="0"/>
          <w:sz w:val="32"/>
          <w:szCs w:val="32"/>
          <w:highlight w:val="yellow"/>
          <w:lang w:val="en-US" w:eastAsia="zh-CN"/>
        </w:rPr>
        <w:t>0</w:t>
      </w:r>
      <w:r>
        <w:rPr>
          <w:rFonts w:hint="eastAsia" w:ascii="仿宋_GB2312" w:hAnsi="Arial" w:eastAsia="仿宋_GB2312" w:cs="Arial"/>
          <w:kern w:val="0"/>
          <w:sz w:val="32"/>
          <w:szCs w:val="32"/>
          <w:highlight w:val="yellow"/>
        </w:rPr>
        <w:t>日起至</w:t>
      </w:r>
      <w:r>
        <w:rPr>
          <w:rFonts w:hint="eastAsia" w:ascii="仿宋_GB2312" w:hAnsi="Arial" w:eastAsia="仿宋_GB2312" w:cs="Arial"/>
          <w:kern w:val="0"/>
          <w:sz w:val="32"/>
          <w:szCs w:val="32"/>
          <w:highlight w:val="yellow"/>
          <w:lang w:val="en-US" w:eastAsia="zh-CN"/>
        </w:rPr>
        <w:t>5</w:t>
      </w:r>
      <w:r>
        <w:rPr>
          <w:rFonts w:hint="eastAsia" w:ascii="仿宋_GB2312" w:hAnsi="Arial" w:eastAsia="仿宋_GB2312" w:cs="Arial"/>
          <w:kern w:val="0"/>
          <w:sz w:val="32"/>
          <w:szCs w:val="32"/>
          <w:highlight w:val="yellow"/>
        </w:rPr>
        <w:t>月</w:t>
      </w:r>
      <w:r>
        <w:rPr>
          <w:rFonts w:hint="eastAsia" w:ascii="仿宋_GB2312" w:hAnsi="Arial" w:eastAsia="仿宋_GB2312" w:cs="Arial"/>
          <w:kern w:val="0"/>
          <w:sz w:val="32"/>
          <w:szCs w:val="32"/>
          <w:highlight w:val="yellow"/>
          <w:lang w:val="en-US" w:eastAsia="zh-CN"/>
        </w:rPr>
        <w:t>27</w:t>
      </w:r>
      <w:r>
        <w:rPr>
          <w:rFonts w:hint="eastAsia" w:ascii="仿宋_GB2312" w:hAnsi="Arial" w:eastAsia="仿宋_GB2312" w:cs="Arial"/>
          <w:kern w:val="0"/>
          <w:sz w:val="32"/>
          <w:szCs w:val="32"/>
          <w:highlight w:val="yellow"/>
        </w:rPr>
        <w:t>日</w:t>
      </w:r>
      <w:r>
        <w:rPr>
          <w:rFonts w:hint="eastAsia" w:ascii="仿宋_GB2312" w:hAnsi="Arial" w:eastAsia="仿宋_GB2312" w:cs="Arial"/>
          <w:kern w:val="0"/>
          <w:sz w:val="32"/>
          <w:szCs w:val="32"/>
        </w:rPr>
        <w:t>24:00 前登录广东省中医住院医师规范化培训管理平台（http://zy.gdzpgl.net/），选择“培训学员入口”，首次登陆先自行注册，按照网站报名要求填写个人简历，请根据意愿选填基地，并上传以下</w:t>
      </w:r>
      <w:r>
        <w:rPr>
          <w:rFonts w:hint="eastAsia" w:ascii="仿宋_GB2312" w:hAnsi="Arial" w:eastAsia="仿宋_GB2312" w:cs="Arial"/>
          <w:b/>
          <w:bCs/>
          <w:kern w:val="0"/>
          <w:sz w:val="32"/>
          <w:szCs w:val="32"/>
          <w:u w:val="single"/>
        </w:rPr>
        <w:t>证明材料原件的清晰图片</w:t>
      </w:r>
      <w:r>
        <w:rPr>
          <w:rFonts w:hint="eastAsia" w:ascii="仿宋_GB2312" w:hAnsi="Arial" w:eastAsia="仿宋_GB2312" w:cs="Arial"/>
          <w:kern w:val="0"/>
          <w:sz w:val="32"/>
          <w:szCs w:val="32"/>
        </w:rPr>
        <w:t>：</w:t>
      </w:r>
    </w:p>
    <w:p>
      <w:pPr>
        <w:widowControl/>
        <w:spacing w:line="385" w:lineRule="atLeast"/>
        <w:ind w:firstLine="700"/>
        <w:rPr>
          <w:rFonts w:ascii="仿宋_GB2312" w:hAnsi="Arial" w:eastAsia="仿宋_GB2312" w:cs="Arial"/>
          <w:kern w:val="0"/>
          <w:sz w:val="32"/>
          <w:szCs w:val="32"/>
        </w:rPr>
      </w:pPr>
      <w:r>
        <w:rPr>
          <w:rFonts w:hint="eastAsia" w:ascii="仿宋_GB2312" w:hAnsi="Arial" w:eastAsia="仿宋_GB2312" w:cs="Arial"/>
          <w:kern w:val="0"/>
          <w:sz w:val="32"/>
          <w:szCs w:val="32"/>
        </w:rPr>
        <w:t>1、个人身份证（正、反面）；</w:t>
      </w:r>
    </w:p>
    <w:p>
      <w:pPr>
        <w:widowControl/>
        <w:spacing w:line="385" w:lineRule="atLeast"/>
        <w:ind w:firstLine="700"/>
        <w:rPr>
          <w:rFonts w:ascii="仿宋_GB2312" w:hAnsi="Arial" w:eastAsia="仿宋_GB2312" w:cs="Arial"/>
          <w:kern w:val="0"/>
          <w:sz w:val="32"/>
          <w:szCs w:val="32"/>
        </w:rPr>
      </w:pPr>
      <w:r>
        <w:rPr>
          <w:rFonts w:hint="eastAsia" w:ascii="仿宋_GB2312" w:hAnsi="Arial" w:eastAsia="仿宋_GB2312" w:cs="Arial"/>
          <w:kern w:val="0"/>
          <w:sz w:val="32"/>
          <w:szCs w:val="32"/>
        </w:rPr>
        <w:t>2、往届毕业生的学历、学位；</w:t>
      </w:r>
    </w:p>
    <w:p>
      <w:pPr>
        <w:widowControl/>
        <w:spacing w:line="385" w:lineRule="atLeast"/>
        <w:ind w:firstLine="700"/>
        <w:rPr>
          <w:rFonts w:ascii="仿宋_GB2312" w:hAnsi="Arial" w:eastAsia="仿宋_GB2312" w:cs="Arial"/>
          <w:kern w:val="0"/>
          <w:sz w:val="32"/>
          <w:szCs w:val="32"/>
        </w:rPr>
      </w:pPr>
      <w:r>
        <w:rPr>
          <w:rFonts w:hint="eastAsia" w:ascii="仿宋_GB2312" w:hAnsi="Arial" w:eastAsia="仿宋_GB2312" w:cs="Arial"/>
          <w:kern w:val="0"/>
          <w:sz w:val="32"/>
          <w:szCs w:val="32"/>
        </w:rPr>
        <w:t>3、</w:t>
      </w:r>
      <w:r>
        <w:rPr>
          <w:rFonts w:hint="eastAsia" w:ascii="仿宋_GB2312" w:eastAsia="仿宋_GB2312"/>
          <w:color w:val="333333"/>
          <w:sz w:val="32"/>
          <w:szCs w:val="32"/>
          <w:shd w:val="clear" w:color="auto" w:fill="FFFFFF"/>
        </w:rPr>
        <w:t>应届毕业生提供在校证明或学生证、成绩单（加盖教务部门公章）</w:t>
      </w:r>
      <w:r>
        <w:rPr>
          <w:rFonts w:hint="eastAsia" w:ascii="仿宋_GB2312" w:hAnsi="Arial" w:eastAsia="仿宋_GB2312" w:cs="Arial"/>
          <w:kern w:val="0"/>
          <w:sz w:val="32"/>
          <w:szCs w:val="32"/>
        </w:rPr>
        <w:t>；</w:t>
      </w:r>
    </w:p>
    <w:p>
      <w:pPr>
        <w:widowControl/>
        <w:spacing w:line="385" w:lineRule="atLeast"/>
        <w:ind w:firstLine="700"/>
        <w:rPr>
          <w:rFonts w:ascii="仿宋_GB2312" w:hAnsi="Arial" w:eastAsia="仿宋_GB2312" w:cs="Arial"/>
          <w:kern w:val="0"/>
          <w:sz w:val="32"/>
          <w:szCs w:val="32"/>
        </w:rPr>
      </w:pPr>
      <w:r>
        <w:rPr>
          <w:rFonts w:hint="eastAsia" w:ascii="仿宋_GB2312" w:hAnsi="Arial" w:eastAsia="仿宋_GB2312" w:cs="Arial"/>
          <w:kern w:val="0"/>
          <w:sz w:val="32"/>
          <w:szCs w:val="32"/>
        </w:rPr>
        <w:t>4、大学英语等级考试证书</w:t>
      </w:r>
      <w:r>
        <w:rPr>
          <w:rFonts w:hint="eastAsia" w:ascii="仿宋_GB2312" w:eastAsia="仿宋_GB2312"/>
          <w:color w:val="333333"/>
          <w:sz w:val="32"/>
          <w:szCs w:val="32"/>
          <w:shd w:val="clear" w:color="auto" w:fill="FFFFFF"/>
        </w:rPr>
        <w:t>（如有）</w:t>
      </w:r>
      <w:r>
        <w:rPr>
          <w:rFonts w:hint="eastAsia" w:ascii="仿宋_GB2312" w:hAnsi="Arial" w:eastAsia="仿宋_GB2312" w:cs="Arial"/>
          <w:kern w:val="0"/>
          <w:sz w:val="32"/>
          <w:szCs w:val="32"/>
        </w:rPr>
        <w:t>；</w:t>
      </w:r>
    </w:p>
    <w:p>
      <w:pPr>
        <w:widowControl/>
        <w:spacing w:line="385" w:lineRule="atLeast"/>
        <w:ind w:firstLine="700"/>
        <w:rPr>
          <w:rFonts w:ascii="仿宋_GB2312" w:hAnsi="Arial" w:eastAsia="仿宋_GB2312" w:cs="Arial"/>
          <w:kern w:val="0"/>
          <w:sz w:val="32"/>
          <w:szCs w:val="32"/>
        </w:rPr>
      </w:pPr>
      <w:r>
        <w:rPr>
          <w:rFonts w:hint="eastAsia" w:ascii="仿宋_GB2312" w:hAnsi="Arial" w:eastAsia="仿宋_GB2312" w:cs="Arial"/>
          <w:kern w:val="0"/>
          <w:sz w:val="32"/>
          <w:szCs w:val="32"/>
        </w:rPr>
        <w:t>5、执业医师资格证、执业证注册证（如有）；</w:t>
      </w:r>
    </w:p>
    <w:p>
      <w:pPr>
        <w:widowControl/>
        <w:spacing w:line="385" w:lineRule="atLeast"/>
        <w:ind w:firstLine="700"/>
        <w:rPr>
          <w:rFonts w:ascii="仿宋_GB2312" w:hAnsi="Arial" w:eastAsia="仿宋_GB2312" w:cs="Arial"/>
          <w:b/>
          <w:kern w:val="0"/>
          <w:sz w:val="32"/>
          <w:szCs w:val="32"/>
        </w:rPr>
      </w:pPr>
      <w:r>
        <w:rPr>
          <w:rFonts w:hint="eastAsia" w:ascii="仿宋_GB2312" w:hAnsi="Arial" w:eastAsia="仿宋_GB2312" w:cs="Arial"/>
          <w:b/>
          <w:kern w:val="0"/>
          <w:sz w:val="32"/>
          <w:szCs w:val="32"/>
        </w:rPr>
        <w:t>6、单位人需要提供本单位同意参加中医住院医师规范化培训的证明</w:t>
      </w:r>
      <w:r>
        <w:rPr>
          <w:rFonts w:hint="eastAsia" w:ascii="仿宋_GB2312" w:hAnsi="Arial" w:eastAsia="仿宋_GB2312" w:cs="Arial"/>
          <w:b/>
          <w:kern w:val="0"/>
          <w:sz w:val="32"/>
          <w:szCs w:val="32"/>
          <w:lang w:eastAsia="zh-CN"/>
        </w:rPr>
        <w:t>（见附件）</w:t>
      </w:r>
      <w:r>
        <w:rPr>
          <w:rFonts w:hint="eastAsia" w:ascii="仿宋_GB2312" w:hAnsi="Arial" w:eastAsia="仿宋_GB2312" w:cs="Arial"/>
          <w:b/>
          <w:kern w:val="0"/>
          <w:sz w:val="32"/>
          <w:szCs w:val="32"/>
        </w:rPr>
        <w:t>。</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 xml:space="preserve"> 报名时，提交的报考申请材料应当真实、准确。报考人员提供虚假报考申请材料的，一经查实，即取消报考资格。对伪造、变造有关证件、材料、信息，骗取考试资格的，将按有关规定予以严肃处理。</w:t>
      </w:r>
    </w:p>
    <w:p>
      <w:pPr>
        <w:widowControl/>
        <w:spacing w:line="385" w:lineRule="atLeast"/>
        <w:ind w:firstLine="422"/>
        <w:rPr>
          <w:rFonts w:ascii="仿宋_GB2312" w:hAnsi="Arial" w:eastAsia="仿宋_GB2312" w:cs="Arial"/>
          <w:kern w:val="0"/>
          <w:sz w:val="32"/>
          <w:szCs w:val="32"/>
        </w:rPr>
      </w:pPr>
      <w:r>
        <w:rPr>
          <w:rFonts w:hint="eastAsia" w:ascii="仿宋_GB2312" w:hAnsi="Arial" w:eastAsia="仿宋_GB2312" w:cs="Arial"/>
          <w:b/>
          <w:bCs/>
          <w:kern w:val="0"/>
          <w:sz w:val="32"/>
          <w:szCs w:val="32"/>
        </w:rPr>
        <w:t>（二）招收考核</w:t>
      </w:r>
    </w:p>
    <w:p>
      <w:pPr>
        <w:widowControl/>
        <w:spacing w:line="385" w:lineRule="atLeast"/>
        <w:ind w:firstLine="640" w:firstLineChars="200"/>
        <w:rPr>
          <w:rFonts w:ascii="仿宋_GB2312" w:hAnsi="Arial" w:eastAsia="仿宋_GB2312" w:cs="Arial"/>
          <w:kern w:val="0"/>
          <w:sz w:val="32"/>
          <w:szCs w:val="32"/>
        </w:rPr>
      </w:pPr>
      <w:r>
        <w:rPr>
          <w:rFonts w:hint="eastAsia" w:ascii="仿宋_GB2312" w:hAnsi="Arial" w:eastAsia="仿宋_GB2312" w:cs="Arial"/>
          <w:kern w:val="0"/>
          <w:sz w:val="32"/>
          <w:szCs w:val="32"/>
        </w:rPr>
        <w:t>按照“公开公平、择优录取、双向选择”原则确定培训对象，医院统一组织理论考核、面试或技能考试，具体安排请关注医院官网及钉钉群内发布。</w:t>
      </w:r>
    </w:p>
    <w:p>
      <w:pPr>
        <w:widowControl/>
        <w:spacing w:line="385" w:lineRule="atLeast"/>
        <w:jc w:val="left"/>
        <w:rPr>
          <w:rFonts w:ascii="黑体" w:hAnsi="黑体" w:eastAsia="黑体" w:cs="Arial"/>
          <w:b/>
          <w:kern w:val="0"/>
          <w:sz w:val="32"/>
          <w:szCs w:val="32"/>
        </w:rPr>
      </w:pPr>
      <w:r>
        <w:rPr>
          <w:rFonts w:hint="eastAsia" w:ascii="黑体" w:hAnsi="黑体" w:eastAsia="黑体" w:cs="Arial"/>
          <w:b/>
          <w:kern w:val="0"/>
          <w:sz w:val="32"/>
          <w:szCs w:val="32"/>
        </w:rPr>
        <w:t>六、联系方式</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联系人：苏老师、李老师</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联系电话：020-86888565-2051</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联系地址：广州市花都区迎宾大道87号人事科</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邮政编码：510800</w:t>
      </w:r>
    </w:p>
    <w:p>
      <w:pPr>
        <w:widowControl/>
        <w:spacing w:line="385" w:lineRule="atLeast"/>
        <w:ind w:firstLine="560"/>
        <w:rPr>
          <w:rFonts w:ascii="仿宋_GB2312" w:hAnsi="Arial" w:eastAsia="仿宋_GB2312" w:cs="Arial"/>
          <w:kern w:val="0"/>
          <w:sz w:val="32"/>
          <w:szCs w:val="32"/>
        </w:rPr>
      </w:pPr>
      <w:r>
        <w:rPr>
          <w:rFonts w:hint="eastAsia" w:ascii="仿宋_GB2312" w:hAnsi="Arial" w:eastAsia="仿宋_GB2312" w:cs="Arial"/>
          <w:kern w:val="0"/>
          <w:sz w:val="32"/>
          <w:szCs w:val="32"/>
        </w:rPr>
        <w:t>医院官网：http://www.gzitwm.net/</w:t>
      </w:r>
    </w:p>
    <w:p>
      <w:pPr>
        <w:jc w:val="left"/>
        <w:rPr>
          <w:rFonts w:ascii="仿宋_GB2312" w:hAnsi="Arial" w:eastAsia="仿宋_GB2312" w:cs="Arial"/>
          <w:kern w:val="0"/>
          <w:sz w:val="32"/>
          <w:szCs w:val="32"/>
        </w:rPr>
      </w:pPr>
      <w:r>
        <w:rPr>
          <w:rFonts w:hint="eastAsia" w:ascii="仿宋_GB2312" w:hAnsi="Arial" w:eastAsia="仿宋_GB2312" w:cs="Arial"/>
          <w:b/>
          <w:bCs/>
          <w:kern w:val="0"/>
          <w:sz w:val="32"/>
          <w:szCs w:val="32"/>
        </w:rPr>
        <w:t>招生咨询时间</w:t>
      </w:r>
      <w:r>
        <w:rPr>
          <w:rFonts w:hint="eastAsia" w:ascii="仿宋_GB2312" w:hAnsi="Arial" w:eastAsia="仿宋_GB2312" w:cs="Arial"/>
          <w:kern w:val="0"/>
          <w:sz w:val="32"/>
          <w:szCs w:val="32"/>
        </w:rPr>
        <w:t xml:space="preserve">：工作日上午8:00-11:30，下午14:30-17:30              </w:t>
      </w:r>
      <w:r>
        <w:rPr>
          <w:rFonts w:hint="eastAsia" w:ascii="仿宋_GB2312" w:hAnsi="Arial" w:eastAsia="仿宋_GB2312" w:cs="Arial"/>
          <w:b/>
          <w:kern w:val="0"/>
          <w:sz w:val="32"/>
          <w:szCs w:val="32"/>
        </w:rPr>
        <w:t>报考人员</w:t>
      </w:r>
      <w:r>
        <w:rPr>
          <w:rFonts w:hint="eastAsia" w:ascii="仿宋_GB2312" w:eastAsia="仿宋_GB2312"/>
          <w:b/>
          <w:color w:val="333333"/>
          <w:sz w:val="32"/>
          <w:szCs w:val="32"/>
          <w:shd w:val="clear" w:color="auto" w:fill="FFFFFF"/>
        </w:rPr>
        <w:t>需实名制加入钉钉群（见下图）</w:t>
      </w:r>
      <w:r>
        <w:rPr>
          <w:rFonts w:hint="eastAsia" w:ascii="仿宋" w:hAnsi="仿宋" w:eastAsia="仿宋"/>
          <w:b/>
          <w:color w:val="333333"/>
          <w:sz w:val="32"/>
          <w:szCs w:val="32"/>
          <w:shd w:val="clear" w:color="auto" w:fill="FFFFFF"/>
        </w:rPr>
        <w:t>。</w:t>
      </w:r>
    </w:p>
    <w:p>
      <w:pPr>
        <w:jc w:val="center"/>
        <w:rPr>
          <w:rFonts w:ascii="仿宋_GB2312" w:eastAsia="仿宋_GB2312"/>
          <w:sz w:val="32"/>
          <w:szCs w:val="32"/>
        </w:rPr>
      </w:pPr>
      <w:r>
        <w:rPr>
          <w:rFonts w:ascii="仿宋_GB2312" w:eastAsia="仿宋_GB2312"/>
          <w:sz w:val="32"/>
          <w:szCs w:val="32"/>
        </w:rPr>
        <w:drawing>
          <wp:inline distT="0" distB="0" distL="0" distR="0">
            <wp:extent cx="3267075" cy="369570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a:srcRect/>
                    <a:stretch>
                      <a:fillRect/>
                    </a:stretch>
                  </pic:blipFill>
                  <pic:spPr>
                    <a:xfrm>
                      <a:off x="0" y="0"/>
                      <a:ext cx="3267075" cy="3695700"/>
                    </a:xfrm>
                    <a:prstGeom prst="rect">
                      <a:avLst/>
                    </a:prstGeom>
                    <a:noFill/>
                    <a:ln w="9525">
                      <a:noFill/>
                      <a:miter lim="800000"/>
                      <a:headEnd/>
                      <a:tailEnd/>
                    </a:ln>
                  </pic:spPr>
                </pic:pic>
              </a:graphicData>
            </a:graphic>
          </wp:inline>
        </w:drawing>
      </w:r>
    </w:p>
    <w:p>
      <w:pPr>
        <w:jc w:val="center"/>
        <w:rPr>
          <w:rFonts w:ascii="仿宋_GB2312" w:eastAsia="仿宋_GB2312"/>
          <w:sz w:val="32"/>
          <w:szCs w:val="32"/>
        </w:rPr>
      </w:pPr>
    </w:p>
    <w:p>
      <w:pPr>
        <w:jc w:val="center"/>
        <w:rPr>
          <w:rFonts w:ascii="仿宋_GB2312" w:eastAsia="仿宋_GB2312"/>
          <w:sz w:val="32"/>
          <w:szCs w:val="32"/>
        </w:rPr>
      </w:pPr>
    </w:p>
    <w:p>
      <w:pPr>
        <w:jc w:val="left"/>
        <w:rPr>
          <w:rFonts w:hint="eastAsia" w:ascii="仿宋_GB2312" w:eastAsia="仿宋_GB2312"/>
          <w:sz w:val="32"/>
          <w:szCs w:val="32"/>
          <w:lang w:val="en-US" w:eastAsia="zh-CN"/>
        </w:rPr>
      </w:pPr>
      <w:r>
        <w:rPr>
          <w:rFonts w:hint="eastAsia" w:ascii="仿宋_GB2312" w:eastAsia="仿宋_GB2312"/>
          <w:sz w:val="32"/>
          <w:szCs w:val="32"/>
          <w:lang w:eastAsia="zh-CN"/>
        </w:rPr>
        <w:t>附</w:t>
      </w:r>
      <w:r>
        <w:rPr>
          <w:rFonts w:hint="eastAsia" w:ascii="仿宋_GB2312" w:eastAsia="仿宋_GB2312"/>
          <w:sz w:val="32"/>
          <w:szCs w:val="32"/>
          <w:lang w:val="en-US" w:eastAsia="zh-CN"/>
        </w:rPr>
        <w:t xml:space="preserve">:              </w:t>
      </w:r>
    </w:p>
    <w:p>
      <w:pPr>
        <w:jc w:val="center"/>
        <w:rPr>
          <w:rFonts w:hint="eastAsia" w:ascii="宋体" w:hAnsi="宋体" w:eastAsia="宋体" w:cs="宋体"/>
          <w:b/>
          <w:bCs/>
          <w:sz w:val="44"/>
          <w:szCs w:val="44"/>
        </w:rPr>
      </w:pPr>
      <w:r>
        <w:rPr>
          <w:rFonts w:hint="eastAsia" w:ascii="宋体" w:hAnsi="宋体" w:eastAsia="宋体" w:cs="宋体"/>
          <w:b/>
          <w:bCs/>
          <w:sz w:val="44"/>
          <w:szCs w:val="44"/>
        </w:rPr>
        <w:t>单位委派证明</w:t>
      </w:r>
    </w:p>
    <w:p>
      <w:pPr>
        <w:jc w:val="center"/>
        <w:rPr>
          <w:rFonts w:hint="eastAsia" w:ascii="宋体" w:hAnsi="宋体" w:eastAsia="宋体" w:cs="宋体"/>
          <w:b/>
          <w:bCs/>
          <w:sz w:val="44"/>
          <w:szCs w:val="44"/>
        </w:rPr>
      </w:pPr>
    </w:p>
    <w:p>
      <w:pPr>
        <w:jc w:val="left"/>
        <w:rPr>
          <w:rFonts w:hint="eastAsia" w:ascii="仿宋_GB2312" w:eastAsia="仿宋_GB2312"/>
          <w:sz w:val="32"/>
          <w:szCs w:val="32"/>
        </w:rPr>
      </w:pPr>
      <w:r>
        <w:rPr>
          <w:rFonts w:hint="eastAsia" w:ascii="仿宋_GB2312" w:eastAsia="仿宋_GB2312"/>
          <w:sz w:val="32"/>
          <w:szCs w:val="32"/>
        </w:rPr>
        <w:t>广</w:t>
      </w:r>
      <w:r>
        <w:rPr>
          <w:rFonts w:hint="eastAsia" w:ascii="仿宋_GB2312" w:eastAsia="仿宋_GB2312"/>
          <w:sz w:val="32"/>
          <w:szCs w:val="32"/>
          <w:lang w:eastAsia="zh-CN"/>
        </w:rPr>
        <w:t>州市</w:t>
      </w:r>
      <w:r>
        <w:rPr>
          <w:rFonts w:hint="eastAsia" w:ascii="仿宋_GB2312" w:eastAsia="仿宋_GB2312"/>
          <w:sz w:val="32"/>
          <w:szCs w:val="32"/>
        </w:rPr>
        <w:t>中西医结合医院:</w:t>
      </w:r>
    </w:p>
    <w:p>
      <w:pPr>
        <w:jc w:val="left"/>
        <w:rPr>
          <w:rFonts w:hint="eastAsia" w:ascii="仿宋_GB2312" w:eastAsia="仿宋_GB2312"/>
          <w:sz w:val="32"/>
          <w:szCs w:val="32"/>
        </w:rPr>
      </w:pPr>
      <w:r>
        <w:rPr>
          <w:rFonts w:hint="eastAsia" w:ascii="仿宋_GB2312" w:eastAsia="仿宋_GB2312"/>
          <w:sz w:val="32"/>
          <w:szCs w:val="32"/>
        </w:rPr>
        <w:t xml:space="preserve">    根据国家</w:t>
      </w:r>
      <w:r>
        <w:rPr>
          <w:rFonts w:hint="eastAsia" w:ascii="仿宋_GB2312" w:eastAsia="仿宋_GB2312"/>
          <w:sz w:val="32"/>
          <w:szCs w:val="32"/>
          <w:lang w:eastAsia="zh-CN"/>
        </w:rPr>
        <w:t>中医</w:t>
      </w:r>
      <w:r>
        <w:rPr>
          <w:rFonts w:hint="eastAsia" w:ascii="仿宋_GB2312" w:eastAsia="仿宋_GB2312"/>
          <w:sz w:val="32"/>
          <w:szCs w:val="32"/>
        </w:rPr>
        <w:t>住院医师规范化培训相关规定，现委派我单位工作人员</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同志(身份证号码</w:t>
      </w:r>
      <w:r>
        <w:rPr>
          <w:rFonts w:hint="eastAsia" w:ascii="仿宋_GB2312" w:eastAsia="仿宋_GB2312"/>
          <w:sz w:val="32"/>
          <w:szCs w:val="32"/>
          <w:u w:val="single"/>
          <w:lang w:val="en-US" w:eastAsia="zh-CN"/>
        </w:rPr>
        <w:t xml:space="preserve">  </w:t>
      </w:r>
      <w:r>
        <w:rPr>
          <w:rFonts w:hint="eastAsia" w:ascii="仿宋_GB2312" w:eastAsia="仿宋_GB2312"/>
          <w:sz w:val="32"/>
          <w:szCs w:val="32"/>
          <w:u w:val="single"/>
          <w:lang w:val="en-US" w:eastAsia="zh-CN"/>
        </w:rPr>
        <w:t xml:space="preserve">              </w:t>
      </w:r>
      <w:r>
        <w:rPr>
          <w:rFonts w:hint="eastAsia" w:ascii="仿宋_GB2312" w:eastAsia="仿宋_GB2312"/>
          <w:sz w:val="32"/>
          <w:szCs w:val="32"/>
        </w:rPr>
        <w:t>)，</w:t>
      </w:r>
    </w:p>
    <w:p>
      <w:pPr>
        <w:jc w:val="left"/>
        <w:rPr>
          <w:rFonts w:hint="eastAsia" w:ascii="仿宋_GB2312" w:eastAsia="仿宋_GB2312"/>
          <w:sz w:val="32"/>
          <w:szCs w:val="32"/>
        </w:rPr>
      </w:pPr>
      <w:r>
        <w:rPr>
          <w:rFonts w:hint="eastAsia" w:ascii="仿宋_GB2312" w:eastAsia="仿宋_GB2312"/>
          <w:sz w:val="32"/>
          <w:szCs w:val="32"/>
        </w:rPr>
        <w:t>前往贵培训基地进行</w:t>
      </w:r>
      <w:r>
        <w:rPr>
          <w:rFonts w:hint="eastAsia" w:ascii="仿宋_GB2312" w:eastAsia="仿宋_GB2312"/>
          <w:sz w:val="32"/>
          <w:szCs w:val="32"/>
          <w:lang w:eastAsia="zh-CN"/>
        </w:rPr>
        <w:t>中医</w:t>
      </w:r>
      <w:r>
        <w:rPr>
          <w:rFonts w:hint="eastAsia" w:ascii="仿宋_GB2312" w:eastAsia="仿宋_GB2312"/>
          <w:sz w:val="32"/>
          <w:szCs w:val="32"/>
        </w:rPr>
        <w:t>住院医师规范化培训，培训期间原人事(劳动)、工资关系不变。</w:t>
      </w:r>
    </w:p>
    <w:p>
      <w:pPr>
        <w:ind w:firstLine="640" w:firstLineChars="200"/>
        <w:jc w:val="left"/>
        <w:rPr>
          <w:rFonts w:hint="eastAsia" w:ascii="仿宋_GB2312" w:eastAsia="仿宋_GB2312"/>
          <w:sz w:val="32"/>
          <w:szCs w:val="32"/>
        </w:rPr>
      </w:pPr>
      <w:r>
        <w:rPr>
          <w:rFonts w:hint="eastAsia" w:ascii="仿宋_GB2312" w:eastAsia="仿宋_GB2312"/>
          <w:sz w:val="32"/>
          <w:szCs w:val="32"/>
        </w:rPr>
        <w:t>请给予接收为盼。</w:t>
      </w:r>
    </w:p>
    <w:p>
      <w:pPr>
        <w:jc w:val="center"/>
        <w:rPr>
          <w:rFonts w:hint="eastAsia" w:ascii="仿宋_GB2312" w:eastAsia="仿宋_GB2312"/>
          <w:sz w:val="32"/>
          <w:szCs w:val="32"/>
        </w:rPr>
      </w:pPr>
      <w:r>
        <w:rPr>
          <w:rFonts w:hint="eastAsia" w:ascii="仿宋_GB2312" w:eastAsia="仿宋_GB2312"/>
          <w:sz w:val="32"/>
          <w:szCs w:val="32"/>
        </w:rPr>
        <w:t xml:space="preserve">    </w:t>
      </w:r>
    </w:p>
    <w:p>
      <w:pPr>
        <w:jc w:val="center"/>
        <w:rPr>
          <w:rFonts w:hint="eastAsia" w:ascii="仿宋_GB2312" w:eastAsia="仿宋_GB2312"/>
          <w:sz w:val="32"/>
          <w:szCs w:val="32"/>
        </w:rPr>
      </w:pPr>
      <w:r>
        <w:rPr>
          <w:rFonts w:hint="eastAsia" w:ascii="仿宋_GB2312" w:eastAsia="仿宋_GB2312"/>
          <w:sz w:val="32"/>
          <w:szCs w:val="32"/>
        </w:rPr>
        <w:t xml:space="preserve">                                        单位(公章)</w:t>
      </w:r>
    </w:p>
    <w:p>
      <w:pPr>
        <w:jc w:val="center"/>
        <w:rPr>
          <w:rFonts w:hint="eastAsia" w:ascii="仿宋_GB2312" w:eastAsia="仿宋_GB2312"/>
          <w:sz w:val="32"/>
          <w:szCs w:val="32"/>
        </w:rPr>
      </w:pPr>
      <w:r>
        <w:rPr>
          <w:rFonts w:hint="eastAsia" w:ascii="仿宋_GB2312" w:eastAsia="仿宋_GB2312"/>
          <w:sz w:val="32"/>
          <w:szCs w:val="32"/>
        </w:rPr>
        <w:t xml:space="preserve">                                       年</w:t>
      </w:r>
      <w:r>
        <w:rPr>
          <w:rFonts w:hint="eastAsia" w:ascii="仿宋_GB2312" w:eastAsia="仿宋_GB2312"/>
          <w:sz w:val="32"/>
          <w:szCs w:val="32"/>
          <w:lang w:val="en-US" w:eastAsia="zh-CN"/>
        </w:rPr>
        <w:t xml:space="preserve">   </w:t>
      </w:r>
      <w:r>
        <w:rPr>
          <w:rFonts w:hint="eastAsia" w:ascii="仿宋_GB2312" w:eastAsia="仿宋_GB2312"/>
          <w:sz w:val="32"/>
          <w:szCs w:val="32"/>
        </w:rPr>
        <w:t>月</w:t>
      </w:r>
      <w:r>
        <w:rPr>
          <w:rFonts w:hint="eastAsia" w:ascii="仿宋_GB2312" w:eastAsia="仿宋_GB2312"/>
          <w:sz w:val="32"/>
          <w:szCs w:val="32"/>
          <w:lang w:val="en-US" w:eastAsia="zh-CN"/>
        </w:rPr>
        <w:t xml:space="preserve">   </w:t>
      </w:r>
      <w:r>
        <w:rPr>
          <w:rFonts w:hint="eastAsia" w:ascii="仿宋_GB2312" w:eastAsia="仿宋_GB2312"/>
          <w:sz w:val="32"/>
          <w:szCs w:val="32"/>
        </w:rPr>
        <w:t>日</w:t>
      </w:r>
    </w:p>
    <w:p>
      <w:pPr>
        <w:jc w:val="center"/>
        <w:rPr>
          <w:rFonts w:ascii="仿宋_GB2312"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Arial">
    <w:panose1 w:val="020B0604020202020204"/>
    <w:charset w:val="00"/>
    <w:family w:val="swiss"/>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新宋体">
    <w:panose1 w:val="02010609030101010101"/>
    <w:charset w:val="86"/>
    <w:family w:val="auto"/>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8779F02"/>
    <w:multiLevelType w:val="singleLevel"/>
    <w:tmpl w:val="88779F02"/>
    <w:lvl w:ilvl="0" w:tentative="0">
      <w:start w:val="5"/>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C6441B"/>
    <w:rsid w:val="00085CDD"/>
    <w:rsid w:val="00113D5A"/>
    <w:rsid w:val="00140299"/>
    <w:rsid w:val="00201397"/>
    <w:rsid w:val="002A08C7"/>
    <w:rsid w:val="002C40FB"/>
    <w:rsid w:val="003726A2"/>
    <w:rsid w:val="0038217A"/>
    <w:rsid w:val="00467ADF"/>
    <w:rsid w:val="00492568"/>
    <w:rsid w:val="004F6FAE"/>
    <w:rsid w:val="00561552"/>
    <w:rsid w:val="00574B61"/>
    <w:rsid w:val="0058525D"/>
    <w:rsid w:val="005D1309"/>
    <w:rsid w:val="005D1AF2"/>
    <w:rsid w:val="006952CE"/>
    <w:rsid w:val="007628E7"/>
    <w:rsid w:val="007F10E7"/>
    <w:rsid w:val="008A0740"/>
    <w:rsid w:val="008D0F96"/>
    <w:rsid w:val="00913051"/>
    <w:rsid w:val="009A2D0F"/>
    <w:rsid w:val="009C4723"/>
    <w:rsid w:val="009F01CC"/>
    <w:rsid w:val="00A25808"/>
    <w:rsid w:val="00A621C0"/>
    <w:rsid w:val="00A768FF"/>
    <w:rsid w:val="00A839E0"/>
    <w:rsid w:val="00B109FF"/>
    <w:rsid w:val="00B8304C"/>
    <w:rsid w:val="00BC30FC"/>
    <w:rsid w:val="00C01ADB"/>
    <w:rsid w:val="00C6441B"/>
    <w:rsid w:val="00C71ABE"/>
    <w:rsid w:val="00D437B2"/>
    <w:rsid w:val="00D621E7"/>
    <w:rsid w:val="00EF2E9E"/>
    <w:rsid w:val="00FB7E73"/>
    <w:rsid w:val="02032053"/>
    <w:rsid w:val="04F56182"/>
    <w:rsid w:val="0A0A44BA"/>
    <w:rsid w:val="0ACA49B7"/>
    <w:rsid w:val="115068E3"/>
    <w:rsid w:val="11D23D9A"/>
    <w:rsid w:val="18913539"/>
    <w:rsid w:val="2218082A"/>
    <w:rsid w:val="24F96059"/>
    <w:rsid w:val="33D13B03"/>
    <w:rsid w:val="33EA441D"/>
    <w:rsid w:val="34BE398C"/>
    <w:rsid w:val="35E16B84"/>
    <w:rsid w:val="38153B82"/>
    <w:rsid w:val="3ACF4698"/>
    <w:rsid w:val="44E536A9"/>
    <w:rsid w:val="5589104A"/>
    <w:rsid w:val="62337477"/>
    <w:rsid w:val="62C711E4"/>
    <w:rsid w:val="63A6002A"/>
    <w:rsid w:val="6EA47283"/>
    <w:rsid w:val="6EF02BAD"/>
    <w:rsid w:val="7BAD722B"/>
    <w:rsid w:val="7D72149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5"/>
    <w:qFormat/>
    <w:uiPriority w:val="9"/>
    <w:pPr>
      <w:widowControl/>
      <w:spacing w:before="100" w:beforeAutospacing="1" w:after="100" w:afterAutospacing="1"/>
      <w:jc w:val="left"/>
      <w:outlineLvl w:val="1"/>
    </w:pPr>
    <w:rPr>
      <w:rFonts w:ascii="宋体" w:hAnsi="宋体" w:eastAsia="宋体" w:cs="宋体"/>
      <w:b/>
      <w:bCs/>
      <w:kern w:val="0"/>
      <w:sz w:val="36"/>
      <w:szCs w:val="36"/>
    </w:rPr>
  </w:style>
  <w:style w:type="character" w:default="1" w:styleId="9">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3">
    <w:name w:val="Balloon Text"/>
    <w:basedOn w:val="1"/>
    <w:link w:val="17"/>
    <w:semiHidden/>
    <w:unhideWhenUsed/>
    <w:qFormat/>
    <w:uiPriority w:val="99"/>
    <w:rPr>
      <w:sz w:val="18"/>
      <w:szCs w:val="18"/>
    </w:rPr>
  </w:style>
  <w:style w:type="paragraph" w:styleId="4">
    <w:name w:val="footer"/>
    <w:basedOn w:val="1"/>
    <w:link w:val="12"/>
    <w:semiHidden/>
    <w:unhideWhenUsed/>
    <w:qFormat/>
    <w:uiPriority w:val="99"/>
    <w:pPr>
      <w:tabs>
        <w:tab w:val="center" w:pos="4153"/>
        <w:tab w:val="right" w:pos="8306"/>
      </w:tabs>
      <w:snapToGrid w:val="0"/>
      <w:jc w:val="left"/>
    </w:pPr>
    <w:rPr>
      <w:sz w:val="18"/>
      <w:szCs w:val="18"/>
    </w:rPr>
  </w:style>
  <w:style w:type="paragraph" w:styleId="5">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Title"/>
    <w:basedOn w:val="1"/>
    <w:link w:val="13"/>
    <w:qFormat/>
    <w:uiPriority w:val="10"/>
    <w:pPr>
      <w:widowControl/>
      <w:spacing w:before="100" w:beforeAutospacing="1" w:after="100" w:afterAutospacing="1"/>
      <w:jc w:val="left"/>
    </w:pPr>
    <w:rPr>
      <w:rFonts w:ascii="宋体" w:hAnsi="宋体" w:eastAsia="宋体" w:cs="宋体"/>
      <w:kern w:val="0"/>
      <w:sz w:val="24"/>
      <w:szCs w:val="24"/>
    </w:rPr>
  </w:style>
  <w:style w:type="character" w:styleId="10">
    <w:name w:val="Strong"/>
    <w:basedOn w:val="9"/>
    <w:qFormat/>
    <w:uiPriority w:val="22"/>
    <w:rPr>
      <w:b/>
      <w:bCs/>
    </w:rPr>
  </w:style>
  <w:style w:type="character" w:customStyle="1" w:styleId="11">
    <w:name w:val="页眉 Char"/>
    <w:basedOn w:val="9"/>
    <w:link w:val="5"/>
    <w:semiHidden/>
    <w:qFormat/>
    <w:uiPriority w:val="99"/>
    <w:rPr>
      <w:sz w:val="18"/>
      <w:szCs w:val="18"/>
    </w:rPr>
  </w:style>
  <w:style w:type="character" w:customStyle="1" w:styleId="12">
    <w:name w:val="页脚 Char"/>
    <w:basedOn w:val="9"/>
    <w:link w:val="4"/>
    <w:semiHidden/>
    <w:qFormat/>
    <w:uiPriority w:val="99"/>
    <w:rPr>
      <w:sz w:val="18"/>
      <w:szCs w:val="18"/>
    </w:rPr>
  </w:style>
  <w:style w:type="character" w:customStyle="1" w:styleId="13">
    <w:name w:val="标题 Char"/>
    <w:basedOn w:val="9"/>
    <w:link w:val="7"/>
    <w:qFormat/>
    <w:uiPriority w:val="10"/>
    <w:rPr>
      <w:rFonts w:ascii="宋体" w:hAnsi="宋体" w:eastAsia="宋体" w:cs="宋体"/>
      <w:kern w:val="0"/>
      <w:sz w:val="24"/>
      <w:szCs w:val="24"/>
    </w:rPr>
  </w:style>
  <w:style w:type="paragraph" w:styleId="14">
    <w:name w:val="List Paragraph"/>
    <w:basedOn w:val="1"/>
    <w:qFormat/>
    <w:uiPriority w:val="34"/>
    <w:pPr>
      <w:widowControl/>
      <w:spacing w:before="100" w:beforeAutospacing="1" w:after="100" w:afterAutospacing="1"/>
      <w:jc w:val="left"/>
    </w:pPr>
    <w:rPr>
      <w:rFonts w:ascii="宋体" w:hAnsi="宋体" w:eastAsia="宋体" w:cs="宋体"/>
      <w:kern w:val="0"/>
      <w:sz w:val="24"/>
      <w:szCs w:val="24"/>
    </w:rPr>
  </w:style>
  <w:style w:type="character" w:customStyle="1" w:styleId="15">
    <w:name w:val="标题 2 Char"/>
    <w:basedOn w:val="9"/>
    <w:link w:val="2"/>
    <w:qFormat/>
    <w:uiPriority w:val="9"/>
    <w:rPr>
      <w:rFonts w:ascii="宋体" w:hAnsi="宋体" w:eastAsia="宋体" w:cs="宋体"/>
      <w:b/>
      <w:bCs/>
      <w:kern w:val="0"/>
      <w:sz w:val="36"/>
      <w:szCs w:val="36"/>
    </w:rPr>
  </w:style>
  <w:style w:type="paragraph" w:customStyle="1" w:styleId="16">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17">
    <w:name w:val="批注框文本 Char"/>
    <w:basedOn w:val="9"/>
    <w:link w:val="3"/>
    <w:semiHidden/>
    <w:qFormat/>
    <w:uiPriority w:val="99"/>
    <w:rPr>
      <w:rFonts w:asciiTheme="minorHAnsi" w:hAnsiTheme="minorHAnsi" w:eastAsiaTheme="minorEastAsia" w:cstheme="minorBidi"/>
      <w:kern w:val="2"/>
      <w:sz w:val="18"/>
      <w:szCs w:val="18"/>
    </w:rPr>
  </w:style>
  <w:style w:type="paragraph" w:customStyle="1" w:styleId="18">
    <w:name w:val="a"/>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384</Words>
  <Characters>2190</Characters>
  <Lines>18</Lines>
  <Paragraphs>5</Paragraphs>
  <TotalTime>24</TotalTime>
  <ScaleCrop>false</ScaleCrop>
  <LinksUpToDate>false</LinksUpToDate>
  <CharactersWithSpaces>2569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2017-07-18T08:03:00Z</dcterms:created>
  <dc:creator>苏强</dc:creator>
  <cp:lastModifiedBy>����ǥ</cp:lastModifiedBy>
  <dcterms:modified xsi:type="dcterms:W3CDTF">2022-05-20T03:30:34Z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